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940"/>
        <w:gridCol w:w="222"/>
        <w:gridCol w:w="6082"/>
      </w:tblGrid>
      <w:tr w:rsidR="0018385A" w:rsidRPr="0018385A" w:rsidTr="006D59F0">
        <w:tc>
          <w:tcPr>
            <w:tcW w:w="294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90AFC" w:rsidRPr="0018385A" w:rsidRDefault="00390AFC" w:rsidP="006D59F0">
            <w:pPr>
              <w:jc w:val="both"/>
              <w:rPr>
                <w:b/>
              </w:rPr>
            </w:pPr>
            <w:r w:rsidRPr="0018385A">
              <w:rPr>
                <w:b/>
              </w:rPr>
              <w:t>Název dokumentu</w:t>
            </w:r>
          </w:p>
        </w:tc>
        <w:tc>
          <w:tcPr>
            <w:tcW w:w="22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390AFC" w:rsidRPr="0018385A" w:rsidRDefault="00390AFC" w:rsidP="006D59F0">
            <w:pPr>
              <w:jc w:val="both"/>
              <w:rPr>
                <w:b/>
              </w:rPr>
            </w:pPr>
          </w:p>
        </w:tc>
        <w:tc>
          <w:tcPr>
            <w:tcW w:w="608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90AFC" w:rsidRPr="0018385A" w:rsidRDefault="002A683A" w:rsidP="00D57A6E">
            <w:pPr>
              <w:jc w:val="both"/>
              <w:rPr>
                <w:b/>
              </w:rPr>
            </w:pPr>
            <w:r w:rsidRPr="0018385A">
              <w:rPr>
                <w:b/>
              </w:rPr>
              <w:t>ODŮVODNĚNÍ ZAKÁZKY</w:t>
            </w:r>
          </w:p>
        </w:tc>
      </w:tr>
      <w:tr w:rsidR="0018385A" w:rsidRPr="0018385A" w:rsidTr="006D59F0">
        <w:tc>
          <w:tcPr>
            <w:tcW w:w="29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90AFC" w:rsidRPr="0018385A" w:rsidRDefault="00390AFC" w:rsidP="006D59F0">
            <w:pPr>
              <w:jc w:val="both"/>
              <w:rPr>
                <w:b/>
              </w:rPr>
            </w:pPr>
            <w:r w:rsidRPr="0018385A">
              <w:rPr>
                <w:b/>
              </w:rPr>
              <w:t>Zadavatel</w:t>
            </w:r>
          </w:p>
        </w:tc>
        <w:tc>
          <w:tcPr>
            <w:tcW w:w="2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390AFC" w:rsidRPr="0018385A" w:rsidRDefault="00390AFC" w:rsidP="006D59F0">
            <w:pPr>
              <w:jc w:val="both"/>
              <w:rPr>
                <w:b/>
              </w:rPr>
            </w:pPr>
          </w:p>
        </w:tc>
        <w:tc>
          <w:tcPr>
            <w:tcW w:w="608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90AFC" w:rsidRPr="0018385A" w:rsidRDefault="00390AFC" w:rsidP="006D59F0">
            <w:pPr>
              <w:jc w:val="both"/>
              <w:rPr>
                <w:b/>
                <w:lang w:val="en-US"/>
              </w:rPr>
            </w:pPr>
            <w:r w:rsidRPr="0018385A">
              <w:rPr>
                <w:b/>
                <w:lang w:val="en-US"/>
              </w:rPr>
              <w:t xml:space="preserve">ČEPRO, </w:t>
            </w:r>
            <w:proofErr w:type="spellStart"/>
            <w:r w:rsidRPr="0018385A">
              <w:rPr>
                <w:b/>
                <w:lang w:val="en-US"/>
              </w:rPr>
              <w:t>a.s</w:t>
            </w:r>
            <w:proofErr w:type="spellEnd"/>
            <w:r w:rsidRPr="0018385A">
              <w:rPr>
                <w:b/>
                <w:lang w:val="en-US"/>
              </w:rPr>
              <w:t>.</w:t>
            </w:r>
          </w:p>
        </w:tc>
      </w:tr>
      <w:tr w:rsidR="0018385A" w:rsidRPr="0018385A" w:rsidTr="006D59F0">
        <w:tc>
          <w:tcPr>
            <w:tcW w:w="29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D59F0" w:rsidRPr="0018385A" w:rsidRDefault="006D59F0" w:rsidP="00D57A6E">
            <w:pPr>
              <w:jc w:val="both"/>
              <w:rPr>
                <w:b/>
              </w:rPr>
            </w:pPr>
            <w:r w:rsidRPr="0018385A">
              <w:rPr>
                <w:b/>
              </w:rPr>
              <w:t xml:space="preserve">Název </w:t>
            </w:r>
            <w:r w:rsidR="00D57A6E" w:rsidRPr="0018385A">
              <w:rPr>
                <w:b/>
              </w:rPr>
              <w:t>zakázky</w:t>
            </w:r>
            <w:r w:rsidRPr="0018385A">
              <w:rPr>
                <w:b/>
              </w:rPr>
              <w:t xml:space="preserve"> </w:t>
            </w:r>
          </w:p>
        </w:tc>
        <w:tc>
          <w:tcPr>
            <w:tcW w:w="2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6D59F0" w:rsidRPr="0018385A" w:rsidRDefault="006D59F0" w:rsidP="006D59F0">
            <w:pPr>
              <w:jc w:val="both"/>
              <w:rPr>
                <w:b/>
              </w:rPr>
            </w:pPr>
          </w:p>
        </w:tc>
        <w:tc>
          <w:tcPr>
            <w:tcW w:w="608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D59F0" w:rsidRPr="0018385A" w:rsidRDefault="003712E8" w:rsidP="003712E8">
            <w:pPr>
              <w:spacing w:before="120"/>
              <w:ind w:right="57"/>
              <w:rPr>
                <w:b/>
                <w:bCs/>
              </w:rPr>
            </w:pPr>
            <w:r w:rsidRPr="0018385A">
              <w:rPr>
                <w:b/>
              </w:rPr>
              <w:t>Rozšíření požárních a bezpečnostních systémů</w:t>
            </w:r>
            <w:r w:rsidRPr="0018385A">
              <w:rPr>
                <w:b/>
              </w:rPr>
              <w:br/>
              <w:t>- sklad Třemošná</w:t>
            </w:r>
          </w:p>
        </w:tc>
      </w:tr>
      <w:tr w:rsidR="0018385A" w:rsidRPr="0018385A" w:rsidTr="006D59F0">
        <w:tc>
          <w:tcPr>
            <w:tcW w:w="29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D59F0" w:rsidRPr="0018385A" w:rsidRDefault="006D59F0" w:rsidP="006D59F0">
            <w:pPr>
              <w:jc w:val="both"/>
              <w:rPr>
                <w:b/>
              </w:rPr>
            </w:pPr>
            <w:proofErr w:type="spellStart"/>
            <w:r w:rsidRPr="0018385A">
              <w:rPr>
                <w:b/>
              </w:rPr>
              <w:t>Evid</w:t>
            </w:r>
            <w:proofErr w:type="spellEnd"/>
            <w:r w:rsidRPr="0018385A">
              <w:rPr>
                <w:b/>
              </w:rPr>
              <w:t xml:space="preserve">. č. </w:t>
            </w:r>
            <w:r w:rsidR="00D57A6E" w:rsidRPr="0018385A">
              <w:rPr>
                <w:b/>
              </w:rPr>
              <w:t>zakázky</w:t>
            </w:r>
          </w:p>
        </w:tc>
        <w:tc>
          <w:tcPr>
            <w:tcW w:w="2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6D59F0" w:rsidRPr="0018385A" w:rsidRDefault="006D59F0" w:rsidP="006D59F0">
            <w:pPr>
              <w:jc w:val="both"/>
              <w:rPr>
                <w:b/>
              </w:rPr>
            </w:pPr>
          </w:p>
        </w:tc>
        <w:tc>
          <w:tcPr>
            <w:tcW w:w="608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D59F0" w:rsidRPr="0018385A" w:rsidRDefault="006D59F0" w:rsidP="006D59F0">
            <w:pPr>
              <w:spacing w:before="120"/>
              <w:ind w:right="57"/>
              <w:jc w:val="both"/>
              <w:rPr>
                <w:b/>
                <w:bCs/>
              </w:rPr>
            </w:pPr>
          </w:p>
        </w:tc>
      </w:tr>
      <w:tr w:rsidR="0018385A" w:rsidRPr="0018385A" w:rsidTr="006D59F0">
        <w:tc>
          <w:tcPr>
            <w:tcW w:w="2940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9F0" w:rsidRPr="0018385A" w:rsidRDefault="006D59F0" w:rsidP="00765D56">
            <w:pPr>
              <w:jc w:val="both"/>
              <w:rPr>
                <w:b/>
              </w:rPr>
            </w:pPr>
            <w:proofErr w:type="spellStart"/>
            <w:r w:rsidRPr="0018385A">
              <w:rPr>
                <w:b/>
              </w:rPr>
              <w:t>Evid</w:t>
            </w:r>
            <w:proofErr w:type="spellEnd"/>
            <w:r w:rsidRPr="0018385A">
              <w:rPr>
                <w:b/>
              </w:rPr>
              <w:t xml:space="preserve">. č. </w:t>
            </w:r>
            <w:r w:rsidR="001B4DE2" w:rsidRPr="0018385A">
              <w:rPr>
                <w:b/>
              </w:rPr>
              <w:t xml:space="preserve">zakázky </w:t>
            </w:r>
            <w:r w:rsidRPr="0018385A">
              <w:rPr>
                <w:b/>
              </w:rPr>
              <w:t>zadavatele</w:t>
            </w:r>
          </w:p>
        </w:tc>
        <w:tc>
          <w:tcPr>
            <w:tcW w:w="22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59F0" w:rsidRPr="0018385A" w:rsidRDefault="006D59F0" w:rsidP="006D59F0">
            <w:pPr>
              <w:jc w:val="both"/>
              <w:rPr>
                <w:b/>
              </w:rPr>
            </w:pPr>
          </w:p>
        </w:tc>
        <w:tc>
          <w:tcPr>
            <w:tcW w:w="6082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6D59F0" w:rsidRPr="0018385A" w:rsidRDefault="003712E8" w:rsidP="00036164">
            <w:pPr>
              <w:spacing w:before="120"/>
              <w:ind w:right="57"/>
              <w:jc w:val="both"/>
              <w:rPr>
                <w:b/>
                <w:bCs/>
              </w:rPr>
            </w:pPr>
            <w:r w:rsidRPr="0018385A">
              <w:rPr>
                <w:b/>
                <w:bCs/>
              </w:rPr>
              <w:t>088/</w:t>
            </w:r>
            <w:r w:rsidR="00005DA9" w:rsidRPr="0018385A">
              <w:rPr>
                <w:b/>
                <w:bCs/>
              </w:rPr>
              <w:t>1</w:t>
            </w:r>
            <w:r w:rsidR="00036164" w:rsidRPr="0018385A">
              <w:rPr>
                <w:b/>
                <w:bCs/>
              </w:rPr>
              <w:t>4</w:t>
            </w:r>
            <w:r w:rsidR="00005DA9" w:rsidRPr="0018385A">
              <w:rPr>
                <w:b/>
                <w:bCs/>
              </w:rPr>
              <w:t>/OCN</w:t>
            </w:r>
          </w:p>
        </w:tc>
      </w:tr>
    </w:tbl>
    <w:p w:rsidR="008D2FA1" w:rsidRPr="0018385A" w:rsidRDefault="008D2FA1" w:rsidP="008D2FA1">
      <w:pPr>
        <w:jc w:val="both"/>
        <w:rPr>
          <w:rFonts w:eastAsia="Calibri"/>
        </w:rPr>
      </w:pPr>
    </w:p>
    <w:p w:rsidR="008D2FA1" w:rsidRPr="0018385A" w:rsidRDefault="008D2FA1" w:rsidP="008D2FA1">
      <w:pPr>
        <w:jc w:val="both"/>
        <w:rPr>
          <w:rFonts w:eastAsia="Calibri"/>
        </w:rPr>
      </w:pPr>
      <w:r w:rsidRPr="0018385A">
        <w:rPr>
          <w:i/>
          <w:iCs/>
        </w:rPr>
        <w:t>Dokument výběrového řízení na zakázku zadávanou využitím postupů podle zákona č. 137/2006 Sb., o veřejných zakázkách, ve znění účinném ke dni zahájení výběrového řízení (dále jen „zákon“).</w:t>
      </w:r>
    </w:p>
    <w:p w:rsidR="008D2FA1" w:rsidRPr="0018385A" w:rsidRDefault="008D2FA1" w:rsidP="008D2FA1">
      <w:pPr>
        <w:spacing w:line="280" w:lineRule="atLeast"/>
        <w:rPr>
          <w:rFonts w:eastAsia="MS Mincho"/>
          <w:b/>
        </w:rPr>
      </w:pPr>
    </w:p>
    <w:p w:rsidR="008D2FA1" w:rsidRPr="0018385A" w:rsidRDefault="008D2FA1" w:rsidP="008D2FA1">
      <w:pPr>
        <w:jc w:val="both"/>
        <w:rPr>
          <w:i/>
          <w:iCs/>
        </w:rPr>
      </w:pPr>
      <w:r w:rsidRPr="0018385A">
        <w:rPr>
          <w:i/>
          <w:iCs/>
        </w:rPr>
        <w:t>Odůvodnění zakázky je zpracováno s využitím postupů dle vyhlášky č. 232/2012 Sb., o podrobnostech rozsahu odůvodnění účelnosti veřejné zakázky a odůvodnění veřejné zakázky (dále jen „vyhláška“).</w:t>
      </w:r>
    </w:p>
    <w:p w:rsidR="00260B56" w:rsidRPr="0018385A" w:rsidRDefault="00260B56" w:rsidP="006D59F0">
      <w:pPr>
        <w:jc w:val="both"/>
      </w:pPr>
    </w:p>
    <w:p w:rsidR="00EB11EF" w:rsidRPr="0018385A" w:rsidRDefault="00EB11EF" w:rsidP="006D59F0">
      <w:pPr>
        <w:jc w:val="both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0"/>
        <w:gridCol w:w="28"/>
        <w:gridCol w:w="254"/>
        <w:gridCol w:w="5636"/>
      </w:tblGrid>
      <w:tr w:rsidR="0018385A" w:rsidRPr="0018385A" w:rsidTr="00A868A0">
        <w:tc>
          <w:tcPr>
            <w:tcW w:w="5000" w:type="pct"/>
            <w:gridSpan w:val="4"/>
            <w:shd w:val="clear" w:color="auto" w:fill="C6D9F1" w:themeFill="text2" w:themeFillTint="33"/>
          </w:tcPr>
          <w:p w:rsidR="004C21A2" w:rsidRPr="0018385A" w:rsidRDefault="004C21A2" w:rsidP="00D57A6E">
            <w:pPr>
              <w:spacing w:line="240" w:lineRule="auto"/>
              <w:contextualSpacing/>
              <w:jc w:val="center"/>
              <w:rPr>
                <w:rFonts w:eastAsia="Times New Roman"/>
                <w:b/>
              </w:rPr>
            </w:pPr>
            <w:r w:rsidRPr="0018385A">
              <w:rPr>
                <w:rFonts w:eastAsia="Times New Roman"/>
                <w:b/>
              </w:rPr>
              <w:t>Odůvodnění účelnosti zakázky podle § 2</w:t>
            </w:r>
            <w:r w:rsidR="00BA6A00" w:rsidRPr="0018385A">
              <w:rPr>
                <w:rFonts w:eastAsia="Times New Roman"/>
                <w:b/>
              </w:rPr>
              <w:t xml:space="preserve"> </w:t>
            </w:r>
            <w:r w:rsidR="00D57A6E" w:rsidRPr="0018385A">
              <w:rPr>
                <w:rFonts w:eastAsia="Times New Roman"/>
                <w:b/>
              </w:rPr>
              <w:t>vyhlášky č. 232/2012 Sb.,</w:t>
            </w:r>
          </w:p>
        </w:tc>
      </w:tr>
      <w:tr w:rsidR="0018385A" w:rsidRPr="0018385A" w:rsidTr="005A2302">
        <w:tc>
          <w:tcPr>
            <w:tcW w:w="1966" w:type="pct"/>
            <w:gridSpan w:val="3"/>
          </w:tcPr>
          <w:p w:rsidR="004C21A2" w:rsidRPr="0018385A" w:rsidRDefault="00E613D8" w:rsidP="009856CD">
            <w:pPr>
              <w:spacing w:line="240" w:lineRule="auto"/>
              <w:contextualSpacing/>
              <w:rPr>
                <w:rFonts w:eastAsia="Times New Roman"/>
                <w:i/>
              </w:rPr>
            </w:pPr>
            <w:r w:rsidRPr="0018385A">
              <w:rPr>
                <w:rFonts w:eastAsia="Times New Roman"/>
                <w:i/>
              </w:rPr>
              <w:t>Popis potřeb, které mají být splněním veřejné zakázky naplněny</w:t>
            </w:r>
          </w:p>
        </w:tc>
        <w:tc>
          <w:tcPr>
            <w:tcW w:w="3034" w:type="pct"/>
          </w:tcPr>
          <w:p w:rsidR="004C21A2" w:rsidRPr="0018385A" w:rsidRDefault="00E613D8" w:rsidP="003A405A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rPr>
                <w:rFonts w:eastAsia="Times New Roman"/>
              </w:rPr>
              <w:t>Zakázkou dojde k naplnění potřeb zadavatele spočívajících v</w:t>
            </w:r>
            <w:r w:rsidR="00036164" w:rsidRPr="0018385A">
              <w:rPr>
                <w:rFonts w:eastAsia="Times New Roman"/>
              </w:rPr>
              <w:t> </w:t>
            </w:r>
            <w:r w:rsidR="00042DE6" w:rsidRPr="0018385A">
              <w:rPr>
                <w:rFonts w:eastAsia="Times New Roman"/>
              </w:rPr>
              <w:t>rozšíření požárních a bezpečnostních systémů skladu ČEPRO, a.s. Třemošná.</w:t>
            </w:r>
          </w:p>
        </w:tc>
      </w:tr>
      <w:tr w:rsidR="0018385A" w:rsidRPr="0018385A" w:rsidTr="005A2302">
        <w:tc>
          <w:tcPr>
            <w:tcW w:w="1966" w:type="pct"/>
            <w:gridSpan w:val="3"/>
          </w:tcPr>
          <w:p w:rsidR="00E613D8" w:rsidRPr="0018385A" w:rsidDel="00E613D8" w:rsidRDefault="00E613D8" w:rsidP="00E613D8">
            <w:pPr>
              <w:spacing w:line="240" w:lineRule="auto"/>
              <w:contextualSpacing/>
              <w:rPr>
                <w:rFonts w:eastAsia="Times New Roman"/>
                <w:i/>
              </w:rPr>
            </w:pPr>
            <w:r w:rsidRPr="0018385A">
              <w:rPr>
                <w:rFonts w:eastAsia="Times New Roman"/>
                <w:i/>
              </w:rPr>
              <w:t>Popis předmětu zakázky</w:t>
            </w:r>
          </w:p>
        </w:tc>
        <w:tc>
          <w:tcPr>
            <w:tcW w:w="3034" w:type="pct"/>
          </w:tcPr>
          <w:p w:rsidR="00E613D8" w:rsidRPr="0018385A" w:rsidRDefault="00E613D8" w:rsidP="00E76455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rPr>
                <w:rFonts w:eastAsia="Times New Roman"/>
              </w:rPr>
              <w:t xml:space="preserve">Předmětem zakázky </w:t>
            </w:r>
            <w:r w:rsidR="00042DE6" w:rsidRPr="0018385A">
              <w:rPr>
                <w:rFonts w:eastAsia="Times New Roman"/>
              </w:rPr>
              <w:t xml:space="preserve">rozšíření systému stabilního hasicího zařízení pěnového, resp. elektronické požární </w:t>
            </w:r>
            <w:r w:rsidR="00E76455" w:rsidRPr="0018385A">
              <w:rPr>
                <w:rFonts w:eastAsia="Times New Roman"/>
              </w:rPr>
              <w:t xml:space="preserve">signalizace </w:t>
            </w:r>
            <w:r w:rsidR="00042DE6" w:rsidRPr="0018385A">
              <w:rPr>
                <w:rFonts w:eastAsia="Times New Roman"/>
              </w:rPr>
              <w:t xml:space="preserve">(EPS) na další objekty, úpravu stávajících systémů stabilního hasicího zařízení a EPS, propojení výstupů systémů stabilního hasicího zařízení (SHZ), EPS, havarijní ventilace a kamerového systému (CCTV) s cílem vytvoření integrovaného systému zabezpečení skladu prostřednictvím nadstavbového systému, přesunutí řídících prvků integrovaného systému zabezpečení skladu do objektu velínu a funkční propojení integrovaného systému skladu s Operačním střediskem HZS Plzeňského kraje, </w:t>
            </w:r>
          </w:p>
        </w:tc>
      </w:tr>
      <w:tr w:rsidR="0018385A" w:rsidRPr="0018385A" w:rsidTr="005A2302">
        <w:tc>
          <w:tcPr>
            <w:tcW w:w="1966" w:type="pct"/>
            <w:gridSpan w:val="3"/>
          </w:tcPr>
          <w:p w:rsidR="00584BA9" w:rsidRPr="0018385A" w:rsidRDefault="00584BA9" w:rsidP="00584BA9">
            <w:pPr>
              <w:spacing w:line="240" w:lineRule="auto"/>
              <w:contextualSpacing/>
              <w:rPr>
                <w:rFonts w:eastAsia="Times New Roman"/>
                <w:i/>
              </w:rPr>
            </w:pPr>
            <w:r w:rsidRPr="0018385A">
              <w:rPr>
                <w:rFonts w:eastAsia="Times New Roman"/>
                <w:i/>
              </w:rPr>
              <w:t>Popis vzájemného vztahu předmětu zakázky a potřeb zadavatele</w:t>
            </w:r>
          </w:p>
        </w:tc>
        <w:tc>
          <w:tcPr>
            <w:tcW w:w="3034" w:type="pct"/>
          </w:tcPr>
          <w:p w:rsidR="00584BA9" w:rsidRPr="0018385A" w:rsidRDefault="00D30780" w:rsidP="00D30780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rPr>
                <w:rFonts w:eastAsia="Times New Roman"/>
              </w:rPr>
              <w:t xml:space="preserve">Uskutečněním zakázky dojde k rozšíření a zlepšení funkčnosti požárních a bezpečnostních systémů skladu. </w:t>
            </w:r>
          </w:p>
        </w:tc>
      </w:tr>
      <w:tr w:rsidR="0018385A" w:rsidRPr="0018385A" w:rsidTr="005A2302">
        <w:tc>
          <w:tcPr>
            <w:tcW w:w="1966" w:type="pct"/>
            <w:gridSpan w:val="3"/>
          </w:tcPr>
          <w:p w:rsidR="00EA05A0" w:rsidRPr="0018385A" w:rsidRDefault="00EA05A0" w:rsidP="00EA05A0">
            <w:pPr>
              <w:spacing w:line="240" w:lineRule="auto"/>
              <w:contextualSpacing/>
              <w:rPr>
                <w:rFonts w:eastAsia="Times New Roman"/>
                <w:i/>
              </w:rPr>
            </w:pPr>
            <w:r w:rsidRPr="0018385A">
              <w:rPr>
                <w:rFonts w:eastAsia="Times New Roman"/>
                <w:i/>
              </w:rPr>
              <w:t xml:space="preserve">Předpokládaný termín splnění veřejné zakázky </w:t>
            </w:r>
          </w:p>
        </w:tc>
        <w:tc>
          <w:tcPr>
            <w:tcW w:w="3034" w:type="pct"/>
          </w:tcPr>
          <w:p w:rsidR="00EA05A0" w:rsidRPr="0018385A" w:rsidRDefault="00EA05A0" w:rsidP="0018385A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rPr>
                <w:rFonts w:eastAsia="Times New Roman"/>
              </w:rPr>
              <w:t xml:space="preserve">Zadavatel předpokládá termín splnění zakázky do </w:t>
            </w:r>
            <w:r w:rsidR="00D609F3" w:rsidRPr="0018385A">
              <w:rPr>
                <w:rFonts w:eastAsia="Times New Roman"/>
              </w:rPr>
              <w:t xml:space="preserve">konce </w:t>
            </w:r>
            <w:r w:rsidR="0018385A" w:rsidRPr="0018385A">
              <w:rPr>
                <w:rFonts w:eastAsia="Times New Roman"/>
              </w:rPr>
              <w:t xml:space="preserve">dubna </w:t>
            </w:r>
            <w:r w:rsidR="00D609F3" w:rsidRPr="0018385A">
              <w:rPr>
                <w:rFonts w:eastAsia="Times New Roman"/>
              </w:rPr>
              <w:t>201</w:t>
            </w:r>
            <w:r w:rsidR="00D30780" w:rsidRPr="0018385A">
              <w:rPr>
                <w:rFonts w:eastAsia="Times New Roman"/>
              </w:rPr>
              <w:t>5</w:t>
            </w:r>
            <w:r w:rsidR="00D609F3" w:rsidRPr="0018385A">
              <w:rPr>
                <w:rFonts w:eastAsia="Times New Roman"/>
              </w:rPr>
              <w:t xml:space="preserve"> </w:t>
            </w:r>
            <w:r w:rsidRPr="0018385A">
              <w:rPr>
                <w:rFonts w:eastAsia="Times New Roman"/>
              </w:rPr>
              <w:t xml:space="preserve">(do </w:t>
            </w:r>
            <w:r w:rsidR="00D30780" w:rsidRPr="0018385A">
              <w:rPr>
                <w:rFonts w:eastAsia="Times New Roman"/>
              </w:rPr>
              <w:t>5</w:t>
            </w:r>
            <w:r w:rsidRPr="0018385A">
              <w:rPr>
                <w:rFonts w:eastAsia="Times New Roman"/>
              </w:rPr>
              <w:t xml:space="preserve"> měsíců) od uzavření smlouvy o dílo, které proběhne v souladu s termíny stanovenými zákonem č. 137/2006 Sb. </w:t>
            </w:r>
          </w:p>
        </w:tc>
      </w:tr>
      <w:tr w:rsidR="0018385A" w:rsidRPr="0018385A" w:rsidTr="005A2302">
        <w:tc>
          <w:tcPr>
            <w:tcW w:w="1966" w:type="pct"/>
            <w:gridSpan w:val="3"/>
          </w:tcPr>
          <w:p w:rsidR="004C21A2" w:rsidRPr="0018385A" w:rsidRDefault="00107DF2" w:rsidP="007F3C5C">
            <w:pPr>
              <w:spacing w:line="240" w:lineRule="auto"/>
              <w:contextualSpacing/>
              <w:rPr>
                <w:rFonts w:eastAsia="Times New Roman"/>
                <w:i/>
              </w:rPr>
            </w:pPr>
            <w:r w:rsidRPr="0018385A">
              <w:rPr>
                <w:rFonts w:eastAsia="Times New Roman"/>
                <w:i/>
              </w:rPr>
              <w:t>Popis rizik souvisejících s plněním zakázky, která zadavatel zohlednil při stanovení zadávacích podmínek.</w:t>
            </w:r>
          </w:p>
        </w:tc>
        <w:tc>
          <w:tcPr>
            <w:tcW w:w="3034" w:type="pct"/>
          </w:tcPr>
          <w:p w:rsidR="00107DF2" w:rsidRPr="0018385A" w:rsidRDefault="007F3C5C" w:rsidP="006B5561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rPr>
                <w:rFonts w:eastAsia="Times New Roman"/>
              </w:rPr>
              <w:t>Z</w:t>
            </w:r>
            <w:r w:rsidR="00107DF2" w:rsidRPr="0018385A">
              <w:rPr>
                <w:rFonts w:eastAsia="Times New Roman"/>
              </w:rPr>
              <w:t>akázka je základní podmínkou splnění plánovaného cíle a jejím splněním bude cíl zcela naplněn.</w:t>
            </w:r>
          </w:p>
          <w:p w:rsidR="00CA70D2" w:rsidRPr="0018385A" w:rsidRDefault="00107DF2" w:rsidP="006B5561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rPr>
                <w:rFonts w:eastAsia="Times New Roman"/>
              </w:rPr>
              <w:t>Popis rizik:</w:t>
            </w:r>
            <w:r w:rsidR="00CA70D2" w:rsidRPr="0018385A">
              <w:rPr>
                <w:rFonts w:eastAsia="Times New Roman"/>
              </w:rPr>
              <w:t xml:space="preserve"> </w:t>
            </w:r>
          </w:p>
          <w:p w:rsidR="004C21A2" w:rsidRPr="0018385A" w:rsidRDefault="00FD0E98" w:rsidP="006B5561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rPr>
                <w:rFonts w:eastAsia="Times New Roman"/>
              </w:rPr>
              <w:t>Nebezpečí výběru nekvalitního dodavatele, který nebude schopen zajistit plnění předmětu zakázky v požadovaném rozsahu, termínech a kvalitě. Uvedené riziko je zohledněno v nastavení požadavků na profesní a technické kvalifikační předpoklady dle zadávací dokumentace a návrhu smluvních obchodních podmínek. Riziko realizace zakázky plyne z možného zrušení zadávacího řízení v případech porušení zákona. Uvedené riziko je zohledněno v postupech zadavatele konaných v souladu se zněním zákona č. 137/2006 Sb.</w:t>
            </w:r>
          </w:p>
        </w:tc>
      </w:tr>
      <w:tr w:rsidR="0018385A" w:rsidRPr="0018385A" w:rsidTr="00A868A0">
        <w:tc>
          <w:tcPr>
            <w:tcW w:w="5000" w:type="pct"/>
            <w:gridSpan w:val="4"/>
            <w:shd w:val="clear" w:color="auto" w:fill="C6D9F1" w:themeFill="text2" w:themeFillTint="33"/>
          </w:tcPr>
          <w:p w:rsidR="004C21A2" w:rsidRPr="0018385A" w:rsidRDefault="004C21A2" w:rsidP="003067CB">
            <w:pPr>
              <w:spacing w:line="240" w:lineRule="auto"/>
              <w:contextualSpacing/>
              <w:jc w:val="center"/>
              <w:rPr>
                <w:rFonts w:eastAsia="Times New Roman"/>
                <w:b/>
              </w:rPr>
            </w:pPr>
            <w:r w:rsidRPr="0018385A">
              <w:rPr>
                <w:rFonts w:eastAsia="Times New Roman"/>
                <w:b/>
              </w:rPr>
              <w:t xml:space="preserve">Odůvodnění požadavků na technické kvalifikační předpoklady pro plnění zakázky na </w:t>
            </w:r>
            <w:r w:rsidR="003067CB" w:rsidRPr="0018385A">
              <w:rPr>
                <w:rFonts w:eastAsia="Times New Roman"/>
                <w:b/>
              </w:rPr>
              <w:t>stavební práce</w:t>
            </w:r>
            <w:r w:rsidR="00FD0E98" w:rsidRPr="0018385A">
              <w:rPr>
                <w:rFonts w:eastAsia="Times New Roman"/>
                <w:b/>
              </w:rPr>
              <w:t xml:space="preserve"> </w:t>
            </w:r>
            <w:r w:rsidRPr="0018385A">
              <w:rPr>
                <w:rFonts w:eastAsia="Times New Roman"/>
                <w:b/>
              </w:rPr>
              <w:t xml:space="preserve">podle § 3 odst. </w:t>
            </w:r>
            <w:r w:rsidR="003067CB" w:rsidRPr="0018385A">
              <w:rPr>
                <w:rFonts w:eastAsia="Times New Roman"/>
                <w:b/>
              </w:rPr>
              <w:t>3</w:t>
            </w:r>
            <w:r w:rsidR="00A5738C" w:rsidRPr="0018385A">
              <w:rPr>
                <w:rFonts w:eastAsia="Times New Roman"/>
                <w:b/>
              </w:rPr>
              <w:t xml:space="preserve"> </w:t>
            </w:r>
            <w:r w:rsidR="00BA6A00" w:rsidRPr="0018385A">
              <w:rPr>
                <w:rFonts w:eastAsia="Times New Roman"/>
                <w:b/>
              </w:rPr>
              <w:t>prováděcího předpisu</w:t>
            </w:r>
          </w:p>
        </w:tc>
      </w:tr>
      <w:tr w:rsidR="0018385A" w:rsidRPr="0018385A" w:rsidTr="006B5561">
        <w:tc>
          <w:tcPr>
            <w:tcW w:w="1829" w:type="pct"/>
            <w:gridSpan w:val="2"/>
          </w:tcPr>
          <w:p w:rsidR="004C21A2" w:rsidRPr="0018385A" w:rsidRDefault="004C21A2" w:rsidP="003067CB">
            <w:pPr>
              <w:spacing w:line="240" w:lineRule="auto"/>
              <w:contextualSpacing/>
              <w:rPr>
                <w:rFonts w:eastAsia="Times New Roman"/>
                <w:i/>
              </w:rPr>
            </w:pPr>
            <w:r w:rsidRPr="0018385A">
              <w:rPr>
                <w:rFonts w:eastAsia="Times New Roman"/>
                <w:i/>
              </w:rPr>
              <w:t xml:space="preserve">Odůvodnění přiměřenosti požadavků na </w:t>
            </w:r>
            <w:r w:rsidR="00A5738C" w:rsidRPr="0018385A">
              <w:rPr>
                <w:rFonts w:eastAsia="Times New Roman"/>
                <w:i/>
              </w:rPr>
              <w:t xml:space="preserve">předložení </w:t>
            </w:r>
            <w:r w:rsidRPr="0018385A">
              <w:rPr>
                <w:rFonts w:eastAsia="Times New Roman"/>
                <w:i/>
              </w:rPr>
              <w:t>seznam</w:t>
            </w:r>
            <w:r w:rsidR="00A5738C" w:rsidRPr="0018385A">
              <w:rPr>
                <w:rFonts w:eastAsia="Times New Roman"/>
                <w:i/>
              </w:rPr>
              <w:t>u</w:t>
            </w:r>
            <w:r w:rsidRPr="0018385A">
              <w:rPr>
                <w:rFonts w:eastAsia="Times New Roman"/>
                <w:i/>
              </w:rPr>
              <w:t xml:space="preserve"> </w:t>
            </w:r>
            <w:r w:rsidR="0023091A" w:rsidRPr="0018385A">
              <w:rPr>
                <w:rFonts w:eastAsia="Times New Roman"/>
                <w:i/>
              </w:rPr>
              <w:t xml:space="preserve">významných služeb, ze kterého vyplývá, že finanční hodnota významných služeb je v souhrnu </w:t>
            </w:r>
            <w:r w:rsidR="0023091A" w:rsidRPr="0018385A">
              <w:rPr>
                <w:rFonts w:eastAsia="Times New Roman"/>
                <w:i/>
              </w:rPr>
              <w:lastRenderedPageBreak/>
              <w:t xml:space="preserve">minimálně </w:t>
            </w:r>
            <w:r w:rsidR="003067CB" w:rsidRPr="0018385A">
              <w:rPr>
                <w:rFonts w:eastAsia="Times New Roman"/>
                <w:i/>
              </w:rPr>
              <w:t>dvojnásobek</w:t>
            </w:r>
            <w:r w:rsidR="0023091A" w:rsidRPr="0018385A">
              <w:rPr>
                <w:rFonts w:eastAsia="Times New Roman"/>
                <w:i/>
              </w:rPr>
              <w:t xml:space="preserve"> předpokládané hodnoty veřejné zakázky</w:t>
            </w:r>
          </w:p>
        </w:tc>
        <w:tc>
          <w:tcPr>
            <w:tcW w:w="3171" w:type="pct"/>
            <w:gridSpan w:val="2"/>
          </w:tcPr>
          <w:p w:rsidR="00A5738C" w:rsidRPr="0018385A" w:rsidRDefault="0023091A" w:rsidP="002001EC">
            <w:pPr>
              <w:pStyle w:val="Normlnweb"/>
            </w:pPr>
            <w:r w:rsidRPr="0018385A">
              <w:lastRenderedPageBreak/>
              <w:t xml:space="preserve">Zadavatel </w:t>
            </w:r>
            <w:r w:rsidRPr="0018385A">
              <w:rPr>
                <w:szCs w:val="22"/>
              </w:rPr>
              <w:t>splnění tohoto kvalifikačního předpokladu nepožaduje.</w:t>
            </w:r>
          </w:p>
        </w:tc>
      </w:tr>
      <w:tr w:rsidR="0018385A" w:rsidRPr="0018385A" w:rsidTr="006B5561">
        <w:tc>
          <w:tcPr>
            <w:tcW w:w="1829" w:type="pct"/>
            <w:gridSpan w:val="2"/>
          </w:tcPr>
          <w:p w:rsidR="004C21A2" w:rsidRPr="0018385A" w:rsidRDefault="004C21A2" w:rsidP="004358BA">
            <w:pPr>
              <w:spacing w:line="240" w:lineRule="auto"/>
              <w:contextualSpacing/>
              <w:rPr>
                <w:rFonts w:eastAsia="Times New Roman"/>
                <w:i/>
              </w:rPr>
            </w:pPr>
            <w:r w:rsidRPr="0018385A">
              <w:rPr>
                <w:rFonts w:eastAsia="Times New Roman"/>
                <w:i/>
              </w:rPr>
              <w:lastRenderedPageBreak/>
              <w:t>Odůvodnění přiměřenosti požadavku na předložení seznamu</w:t>
            </w:r>
            <w:r w:rsidR="004358BA" w:rsidRPr="0018385A">
              <w:rPr>
                <w:rFonts w:eastAsia="Times New Roman"/>
                <w:i/>
              </w:rPr>
              <w:t xml:space="preserve"> více než tří </w:t>
            </w:r>
            <w:r w:rsidRPr="0018385A">
              <w:rPr>
                <w:rFonts w:eastAsia="Times New Roman"/>
                <w:i/>
              </w:rPr>
              <w:t xml:space="preserve">techniků či technických útvarů. </w:t>
            </w:r>
          </w:p>
        </w:tc>
        <w:tc>
          <w:tcPr>
            <w:tcW w:w="3171" w:type="pct"/>
            <w:gridSpan w:val="2"/>
          </w:tcPr>
          <w:p w:rsidR="00236D9E" w:rsidRPr="0018385A" w:rsidRDefault="00D30780" w:rsidP="003067CB">
            <w:pPr>
              <w:spacing w:line="245" w:lineRule="auto"/>
              <w:jc w:val="both"/>
              <w:rPr>
                <w:szCs w:val="22"/>
              </w:rPr>
            </w:pPr>
            <w:r w:rsidRPr="0018385A">
              <w:t xml:space="preserve">Zadavatel </w:t>
            </w:r>
            <w:r w:rsidRPr="0018385A">
              <w:rPr>
                <w:szCs w:val="22"/>
              </w:rPr>
              <w:t>splnění tohoto kvalifikačního předpokladu nepožaduje.</w:t>
            </w:r>
          </w:p>
        </w:tc>
      </w:tr>
      <w:tr w:rsidR="0018385A" w:rsidRPr="0018385A" w:rsidTr="006B5561">
        <w:tc>
          <w:tcPr>
            <w:tcW w:w="1829" w:type="pct"/>
            <w:gridSpan w:val="2"/>
          </w:tcPr>
          <w:p w:rsidR="00513C94" w:rsidRPr="0018385A" w:rsidRDefault="00236D9E" w:rsidP="001C5023">
            <w:pPr>
              <w:spacing w:line="240" w:lineRule="auto"/>
              <w:contextualSpacing/>
              <w:rPr>
                <w:rFonts w:eastAsia="Times New Roman"/>
                <w:i/>
              </w:rPr>
            </w:pPr>
            <w:r w:rsidRPr="0018385A">
              <w:rPr>
                <w:i/>
              </w:rPr>
              <w:t>Odůvodnění přiměřenosti požadavku na předložení osvědčení odborné kvalifikace delší než pět let dodavatele nebo vedoucích zaměstnanců dodavatele nebo osob v obdobném postavení a osob odpovědných za vedení realizace příslušných stavebních prací.</w:t>
            </w:r>
          </w:p>
        </w:tc>
        <w:tc>
          <w:tcPr>
            <w:tcW w:w="3171" w:type="pct"/>
            <w:gridSpan w:val="2"/>
          </w:tcPr>
          <w:p w:rsidR="00335E51" w:rsidRPr="0018385A" w:rsidRDefault="00335E51" w:rsidP="006B5561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rPr>
                <w:rFonts w:eastAsia="Times New Roman"/>
              </w:rPr>
              <w:t xml:space="preserve">Zadavatel </w:t>
            </w:r>
            <w:r w:rsidRPr="0018385A">
              <w:rPr>
                <w:szCs w:val="22"/>
              </w:rPr>
              <w:t>splnění tohoto kvalifikačního předpokladu nepožaduje.</w:t>
            </w:r>
          </w:p>
        </w:tc>
      </w:tr>
      <w:tr w:rsidR="0018385A" w:rsidRPr="0018385A" w:rsidTr="006B5561">
        <w:tc>
          <w:tcPr>
            <w:tcW w:w="1829" w:type="pct"/>
            <w:gridSpan w:val="2"/>
          </w:tcPr>
          <w:p w:rsidR="004358BA" w:rsidRPr="0018385A" w:rsidRDefault="00236D9E" w:rsidP="001C5023">
            <w:pPr>
              <w:pStyle w:val="Odstavecseseznamem"/>
              <w:ind w:left="0"/>
              <w:rPr>
                <w:rFonts w:eastAsia="Times New Roman"/>
                <w:i/>
              </w:rPr>
            </w:pPr>
            <w:r w:rsidRPr="0018385A">
              <w:rPr>
                <w:i/>
              </w:rPr>
              <w:t>Odůvodnění přiměřenosti požadavku na předložení přehledu průměrného ročního počtu zaměstnanců dodavatele nebo jiných osob podílejících se na plnění zakázek podobného charakteru a počtu vedoucích zaměstnanců dodavatele nebo osob v obdobném postavení</w:t>
            </w:r>
            <w:r w:rsidR="001C5023" w:rsidRPr="0018385A">
              <w:rPr>
                <w:i/>
              </w:rPr>
              <w:t>.</w:t>
            </w:r>
          </w:p>
        </w:tc>
        <w:tc>
          <w:tcPr>
            <w:tcW w:w="3171" w:type="pct"/>
            <w:gridSpan w:val="2"/>
          </w:tcPr>
          <w:p w:rsidR="004358BA" w:rsidRPr="0018385A" w:rsidRDefault="001C5023" w:rsidP="006B5561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rPr>
                <w:rFonts w:eastAsia="Times New Roman"/>
              </w:rPr>
              <w:t xml:space="preserve">Zadavatel </w:t>
            </w:r>
            <w:r w:rsidRPr="0018385A">
              <w:rPr>
                <w:szCs w:val="22"/>
              </w:rPr>
              <w:t>splnění tohoto kvalifikačního předpokladu nepožaduje.</w:t>
            </w:r>
          </w:p>
        </w:tc>
      </w:tr>
      <w:tr w:rsidR="0018385A" w:rsidRPr="0018385A" w:rsidTr="006B5561">
        <w:tc>
          <w:tcPr>
            <w:tcW w:w="1829" w:type="pct"/>
            <w:gridSpan w:val="2"/>
          </w:tcPr>
          <w:p w:rsidR="004358BA" w:rsidRPr="0018385A" w:rsidRDefault="00236D9E" w:rsidP="001C5023">
            <w:pPr>
              <w:pStyle w:val="Odstavecseseznamem"/>
              <w:ind w:left="0"/>
              <w:rPr>
                <w:rFonts w:eastAsia="Times New Roman"/>
                <w:i/>
              </w:rPr>
            </w:pPr>
            <w:r w:rsidRPr="0018385A">
              <w:rPr>
                <w:i/>
              </w:rPr>
              <w:t>Odůvodnění přiměřenosti požadavku na předložení přehledu nástrojů či pomůcek, provozních a technických zařízení, které bude mít dodavatel při plnění zakázky k dispozici.</w:t>
            </w:r>
          </w:p>
        </w:tc>
        <w:tc>
          <w:tcPr>
            <w:tcW w:w="3171" w:type="pct"/>
            <w:gridSpan w:val="2"/>
          </w:tcPr>
          <w:p w:rsidR="004358BA" w:rsidRPr="0018385A" w:rsidRDefault="00D30780" w:rsidP="006B5561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t xml:space="preserve">Zadavatel </w:t>
            </w:r>
            <w:r w:rsidRPr="0018385A">
              <w:rPr>
                <w:szCs w:val="22"/>
              </w:rPr>
              <w:t>splnění tohoto kvalifikačního předpokladu nepožaduje.</w:t>
            </w:r>
          </w:p>
        </w:tc>
      </w:tr>
      <w:tr w:rsidR="0018385A" w:rsidRPr="0018385A" w:rsidTr="00A868A0">
        <w:tc>
          <w:tcPr>
            <w:tcW w:w="5000" w:type="pct"/>
            <w:gridSpan w:val="4"/>
            <w:shd w:val="clear" w:color="auto" w:fill="C6D9F1" w:themeFill="text2" w:themeFillTint="33"/>
          </w:tcPr>
          <w:p w:rsidR="004C21A2" w:rsidRPr="0018385A" w:rsidRDefault="004C21A2" w:rsidP="00236D9E">
            <w:pPr>
              <w:spacing w:line="240" w:lineRule="auto"/>
              <w:jc w:val="center"/>
              <w:rPr>
                <w:rFonts w:eastAsia="Times New Roman"/>
              </w:rPr>
            </w:pPr>
            <w:r w:rsidRPr="0018385A">
              <w:rPr>
                <w:rFonts w:eastAsia="Times New Roman"/>
                <w:b/>
              </w:rPr>
              <w:t xml:space="preserve">Odůvodnění vymezení obchodních podmínek </w:t>
            </w:r>
            <w:r w:rsidR="00335E51" w:rsidRPr="0018385A">
              <w:rPr>
                <w:rFonts w:eastAsia="Times New Roman"/>
                <w:b/>
              </w:rPr>
              <w:t xml:space="preserve">zakázky na </w:t>
            </w:r>
            <w:r w:rsidR="00236D9E" w:rsidRPr="0018385A">
              <w:rPr>
                <w:rFonts w:eastAsia="Times New Roman"/>
                <w:b/>
              </w:rPr>
              <w:t>stavební práce</w:t>
            </w:r>
          </w:p>
        </w:tc>
      </w:tr>
      <w:tr w:rsidR="0018385A" w:rsidRPr="0018385A" w:rsidTr="006B5561">
        <w:tc>
          <w:tcPr>
            <w:tcW w:w="1814" w:type="pct"/>
          </w:tcPr>
          <w:p w:rsidR="004C21A2" w:rsidRPr="0018385A" w:rsidRDefault="004C21A2" w:rsidP="00335E51">
            <w:pPr>
              <w:spacing w:line="240" w:lineRule="auto"/>
              <w:contextualSpacing/>
              <w:rPr>
                <w:rFonts w:eastAsia="Times New Roman"/>
                <w:i/>
              </w:rPr>
            </w:pPr>
            <w:r w:rsidRPr="0018385A">
              <w:rPr>
                <w:rFonts w:eastAsia="Times New Roman"/>
                <w:i/>
              </w:rPr>
              <w:t xml:space="preserve">Odůvodnění vymezení obchodní podmínky stanovící splatnosti faktur </w:t>
            </w:r>
          </w:p>
        </w:tc>
        <w:tc>
          <w:tcPr>
            <w:tcW w:w="3186" w:type="pct"/>
            <w:gridSpan w:val="3"/>
          </w:tcPr>
          <w:p w:rsidR="00F67FE1" w:rsidRPr="0018385A" w:rsidRDefault="005A2302" w:rsidP="00D30780">
            <w:pPr>
              <w:rPr>
                <w:rFonts w:eastAsia="Times New Roman"/>
              </w:rPr>
            </w:pPr>
            <w:r w:rsidRPr="0018385A">
              <w:rPr>
                <w:rFonts w:eastAsia="Times New Roman"/>
              </w:rPr>
              <w:t xml:space="preserve">Je požadována </w:t>
            </w:r>
            <w:r w:rsidR="00D30780" w:rsidRPr="0018385A">
              <w:rPr>
                <w:rFonts w:eastAsia="Times New Roman"/>
              </w:rPr>
              <w:t>45</w:t>
            </w:r>
            <w:r w:rsidRPr="0018385A">
              <w:rPr>
                <w:rFonts w:eastAsia="Times New Roman"/>
              </w:rPr>
              <w:t xml:space="preserve"> denní splatnost faktur</w:t>
            </w:r>
          </w:p>
        </w:tc>
      </w:tr>
      <w:tr w:rsidR="0018385A" w:rsidRPr="0018385A" w:rsidTr="006B5561">
        <w:tc>
          <w:tcPr>
            <w:tcW w:w="1814" w:type="pct"/>
          </w:tcPr>
          <w:p w:rsidR="00D30780" w:rsidRPr="0018385A" w:rsidRDefault="00D30780" w:rsidP="0004761A">
            <w:pPr>
              <w:spacing w:line="240" w:lineRule="auto"/>
              <w:contextualSpacing/>
              <w:rPr>
                <w:rFonts w:eastAsia="Times New Roman"/>
                <w:i/>
              </w:rPr>
            </w:pPr>
            <w:r w:rsidRPr="0018385A">
              <w:rPr>
                <w:rFonts w:eastAsia="Times New Roman"/>
                <w:i/>
              </w:rPr>
              <w:t>Odůvodnění vymezení obchodní podmínky stanovící požadavek na pojištění odpovědnosti za škodu způsobenou dodavatelem třetím osobám ve výši přesahující dvojnásobek předpokládané hodnoty zakázky</w:t>
            </w:r>
          </w:p>
        </w:tc>
        <w:tc>
          <w:tcPr>
            <w:tcW w:w="3186" w:type="pct"/>
            <w:gridSpan w:val="3"/>
          </w:tcPr>
          <w:p w:rsidR="00D30780" w:rsidRPr="0018385A" w:rsidRDefault="00D30780" w:rsidP="00837D7E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t xml:space="preserve">Zadavatel </w:t>
            </w:r>
            <w:r w:rsidRPr="0018385A">
              <w:rPr>
                <w:szCs w:val="22"/>
              </w:rPr>
              <w:t>splnění tohoto kvalifikačního předpokladu nepožaduje.</w:t>
            </w:r>
          </w:p>
        </w:tc>
      </w:tr>
      <w:tr w:rsidR="0018385A" w:rsidRPr="0018385A" w:rsidTr="006B5561">
        <w:tc>
          <w:tcPr>
            <w:tcW w:w="1814" w:type="pct"/>
          </w:tcPr>
          <w:p w:rsidR="004C21A2" w:rsidRPr="0018385A" w:rsidRDefault="004C21A2" w:rsidP="00696F67">
            <w:pPr>
              <w:spacing w:line="240" w:lineRule="auto"/>
              <w:contextualSpacing/>
              <w:rPr>
                <w:rFonts w:eastAsia="Times New Roman"/>
                <w:i/>
              </w:rPr>
            </w:pPr>
            <w:r w:rsidRPr="0018385A">
              <w:rPr>
                <w:rFonts w:eastAsia="Times New Roman"/>
                <w:i/>
              </w:rPr>
              <w:t>Odůvodnění vymezení obchodní podmínky stanovící požadavek bankovní záruky vyšší než je 5 % ceny zakázky.</w:t>
            </w:r>
          </w:p>
        </w:tc>
        <w:tc>
          <w:tcPr>
            <w:tcW w:w="3186" w:type="pct"/>
            <w:gridSpan w:val="3"/>
          </w:tcPr>
          <w:p w:rsidR="004C21A2" w:rsidRPr="0018385A" w:rsidRDefault="00696F67" w:rsidP="004C21A2">
            <w:pPr>
              <w:spacing w:line="240" w:lineRule="auto"/>
              <w:contextualSpacing/>
              <w:rPr>
                <w:rFonts w:eastAsia="Times New Roman"/>
              </w:rPr>
            </w:pPr>
            <w:r w:rsidRPr="0018385A">
              <w:rPr>
                <w:szCs w:val="22"/>
              </w:rPr>
              <w:t>Zadavatel tento požadavek v zadávací dokumentaci nestanovil</w:t>
            </w:r>
          </w:p>
        </w:tc>
      </w:tr>
      <w:tr w:rsidR="0018385A" w:rsidRPr="0018385A" w:rsidTr="006B5561">
        <w:tc>
          <w:tcPr>
            <w:tcW w:w="1814" w:type="pct"/>
          </w:tcPr>
          <w:p w:rsidR="004C21A2" w:rsidRPr="0018385A" w:rsidRDefault="004C21A2" w:rsidP="004C21A2">
            <w:pPr>
              <w:spacing w:line="240" w:lineRule="auto"/>
              <w:contextualSpacing/>
              <w:rPr>
                <w:rFonts w:eastAsia="Times New Roman"/>
                <w:i/>
              </w:rPr>
            </w:pPr>
            <w:r w:rsidRPr="0018385A">
              <w:rPr>
                <w:rFonts w:eastAsia="Times New Roman"/>
                <w:i/>
              </w:rPr>
              <w:t>Odůvodnění vymezení obchodní podmínky stanovící požadavek záruční lhůtu delší než 24 měsíců.</w:t>
            </w:r>
          </w:p>
        </w:tc>
        <w:tc>
          <w:tcPr>
            <w:tcW w:w="3186" w:type="pct"/>
            <w:gridSpan w:val="3"/>
          </w:tcPr>
          <w:p w:rsidR="00536DE1" w:rsidRPr="0018385A" w:rsidRDefault="00536DE1" w:rsidP="006B5561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rPr>
                <w:szCs w:val="22"/>
              </w:rPr>
              <w:t>Záruční lhůty dle obchodních podmínek se nevymykají podmínkám obvykle používaným při obdobných předmětech plnění. Jejich rozsah byl stanoven přiměřeně k předmětu plnění a potřebám zadavatele, jakož i možným rizikům plynoucím z nebezpečí výběru nekvalitního dodavatele, který nebude schopen zajistit plnění předmětu zakázky v požadovaném rozsahu, termínech a kvalitě</w:t>
            </w:r>
          </w:p>
        </w:tc>
      </w:tr>
      <w:tr w:rsidR="0018385A" w:rsidRPr="0018385A" w:rsidTr="006B5561">
        <w:tc>
          <w:tcPr>
            <w:tcW w:w="1814" w:type="pct"/>
          </w:tcPr>
          <w:p w:rsidR="004C21A2" w:rsidRPr="0018385A" w:rsidRDefault="004C21A2" w:rsidP="00696F67">
            <w:pPr>
              <w:spacing w:line="240" w:lineRule="auto"/>
              <w:contextualSpacing/>
              <w:rPr>
                <w:rFonts w:eastAsia="Times New Roman"/>
                <w:i/>
              </w:rPr>
            </w:pPr>
            <w:r w:rsidRPr="0018385A">
              <w:rPr>
                <w:rFonts w:eastAsia="Times New Roman"/>
                <w:i/>
              </w:rPr>
              <w:t>Odůvodnění vymezení obchodní podmínky stanovící smluvní pokutu za prodlení dodavatele vyšší než 0,</w:t>
            </w:r>
            <w:r w:rsidR="00894A8D" w:rsidRPr="0018385A">
              <w:rPr>
                <w:rFonts w:eastAsia="Times New Roman"/>
                <w:i/>
              </w:rPr>
              <w:t>2</w:t>
            </w:r>
            <w:r w:rsidRPr="0018385A">
              <w:rPr>
                <w:rFonts w:eastAsia="Times New Roman"/>
                <w:i/>
              </w:rPr>
              <w:t xml:space="preserve"> % z předpokládané hodnoty zakázky za každý den prodlení.</w:t>
            </w:r>
          </w:p>
        </w:tc>
        <w:tc>
          <w:tcPr>
            <w:tcW w:w="3186" w:type="pct"/>
            <w:gridSpan w:val="3"/>
          </w:tcPr>
          <w:p w:rsidR="00165C43" w:rsidRPr="0018385A" w:rsidRDefault="00D51D82" w:rsidP="006B5561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t>Zadavatel pro případ neplnění platebních závazků stanovil pouze úroky z prodlení ve výši dle platných právních předpisů</w:t>
            </w:r>
          </w:p>
        </w:tc>
      </w:tr>
      <w:tr w:rsidR="0018385A" w:rsidRPr="0018385A" w:rsidTr="006B5561">
        <w:tc>
          <w:tcPr>
            <w:tcW w:w="1814" w:type="pct"/>
          </w:tcPr>
          <w:p w:rsidR="00D51D82" w:rsidRPr="0018385A" w:rsidRDefault="00D51D82" w:rsidP="00D51D82">
            <w:pPr>
              <w:pStyle w:val="Odstavecseseznamem"/>
              <w:ind w:left="0"/>
              <w:jc w:val="both"/>
              <w:rPr>
                <w:i/>
              </w:rPr>
            </w:pPr>
            <w:r w:rsidRPr="0018385A">
              <w:rPr>
                <w:i/>
              </w:rPr>
              <w:lastRenderedPageBreak/>
              <w:t>Odůvodnění vymezení obchodní podmínky stanovící smluvní pokutu za prodlení zadavatele s úhradou faktur vyšší než 0,05% z dlužné částky za každý den prodlení.</w:t>
            </w:r>
          </w:p>
          <w:p w:rsidR="004C21A2" w:rsidRPr="0018385A" w:rsidRDefault="004C21A2" w:rsidP="00D51D82">
            <w:pPr>
              <w:spacing w:line="240" w:lineRule="auto"/>
              <w:contextualSpacing/>
              <w:rPr>
                <w:rFonts w:eastAsia="Times New Roman"/>
                <w:i/>
              </w:rPr>
            </w:pPr>
          </w:p>
        </w:tc>
        <w:tc>
          <w:tcPr>
            <w:tcW w:w="3186" w:type="pct"/>
            <w:gridSpan w:val="3"/>
          </w:tcPr>
          <w:p w:rsidR="004C21A2" w:rsidRPr="0018385A" w:rsidRDefault="00D51D82" w:rsidP="006B5561">
            <w:pPr>
              <w:spacing w:line="240" w:lineRule="auto"/>
              <w:contextualSpacing/>
              <w:jc w:val="both"/>
              <w:rPr>
                <w:rFonts w:eastAsia="Times New Roman"/>
                <w:highlight w:val="cyan"/>
              </w:rPr>
            </w:pPr>
            <w:r w:rsidRPr="0018385A">
              <w:t>Zadavatel pro případ neplnění platebních závazků stanovil pouze úroky z prodlení ve výši dle platných právních předpisů</w:t>
            </w:r>
            <w:r w:rsidR="00A6326A" w:rsidRPr="0018385A">
              <w:rPr>
                <w:rFonts w:eastAsia="Times New Roman"/>
              </w:rPr>
              <w:t xml:space="preserve">. </w:t>
            </w:r>
          </w:p>
        </w:tc>
      </w:tr>
      <w:tr w:rsidR="0018385A" w:rsidRPr="0018385A" w:rsidTr="006B5561">
        <w:tc>
          <w:tcPr>
            <w:tcW w:w="1814" w:type="pct"/>
          </w:tcPr>
          <w:p w:rsidR="004C21A2" w:rsidRPr="0018385A" w:rsidRDefault="004C21A2" w:rsidP="002F4DE7">
            <w:pPr>
              <w:spacing w:line="240" w:lineRule="auto"/>
              <w:contextualSpacing/>
              <w:rPr>
                <w:rFonts w:eastAsia="Times New Roman"/>
                <w:i/>
              </w:rPr>
            </w:pPr>
            <w:r w:rsidRPr="0018385A">
              <w:rPr>
                <w:rFonts w:eastAsia="Times New Roman"/>
                <w:i/>
              </w:rPr>
              <w:t xml:space="preserve">Odůvodnění vymezení dalších obchodních podmínek dle § </w:t>
            </w:r>
            <w:r w:rsidR="002F4DE7" w:rsidRPr="0018385A">
              <w:rPr>
                <w:rFonts w:eastAsia="Times New Roman"/>
                <w:i/>
              </w:rPr>
              <w:t>4</w:t>
            </w:r>
            <w:r w:rsidR="002D68E3" w:rsidRPr="0018385A">
              <w:rPr>
                <w:rFonts w:eastAsia="Times New Roman"/>
                <w:i/>
              </w:rPr>
              <w:t xml:space="preserve"> </w:t>
            </w:r>
            <w:r w:rsidRPr="0018385A">
              <w:rPr>
                <w:rFonts w:eastAsia="Times New Roman"/>
                <w:i/>
              </w:rPr>
              <w:t>odst. 2</w:t>
            </w:r>
            <w:r w:rsidR="002F4DE7" w:rsidRPr="0018385A">
              <w:rPr>
                <w:rFonts w:eastAsia="Times New Roman"/>
                <w:i/>
              </w:rPr>
              <w:t xml:space="preserve"> prováděcího předpisu</w:t>
            </w:r>
            <w:r w:rsidRPr="0018385A">
              <w:rPr>
                <w:rFonts w:eastAsia="Times New Roman"/>
                <w:i/>
              </w:rPr>
              <w:t>.</w:t>
            </w:r>
          </w:p>
        </w:tc>
        <w:tc>
          <w:tcPr>
            <w:tcW w:w="3186" w:type="pct"/>
            <w:gridSpan w:val="3"/>
          </w:tcPr>
          <w:p w:rsidR="004C21A2" w:rsidRPr="0018385A" w:rsidRDefault="00165C43" w:rsidP="006B5561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rPr>
                <w:rFonts w:eastAsia="Times New Roman"/>
              </w:rPr>
              <w:t xml:space="preserve">Zadavatel stanovil obchodní podmínky formou závazného textu návrhu smlouvy, přičemž v celém textu obchodních podmínek respektoval zásady poctivého </w:t>
            </w:r>
            <w:r w:rsidR="004B3886" w:rsidRPr="0018385A">
              <w:rPr>
                <w:rFonts w:eastAsia="Times New Roman"/>
              </w:rPr>
              <w:t xml:space="preserve">obchodního styku a vytvořil dokument s vyváženým rozsahem práv a povinností pro obě smluvní strany. </w:t>
            </w:r>
          </w:p>
          <w:p w:rsidR="004B3886" w:rsidRPr="0018385A" w:rsidRDefault="004B3886" w:rsidP="00D51D82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rPr>
                <w:rFonts w:eastAsia="Times New Roman"/>
              </w:rPr>
              <w:t xml:space="preserve">Zadavatel stanovil, obchodní podmínky pro veřejné zakázky na </w:t>
            </w:r>
            <w:r w:rsidR="00D51D82" w:rsidRPr="0018385A">
              <w:rPr>
                <w:rFonts w:eastAsia="Times New Roman"/>
              </w:rPr>
              <w:t>služby</w:t>
            </w:r>
            <w:r w:rsidRPr="0018385A">
              <w:rPr>
                <w:rFonts w:eastAsia="Times New Roman"/>
              </w:rPr>
              <w:t>, Rozsah takto stanovených obchodních podmínek se nevymyká podmínkám obvykle používaných při obdobných předmětech plnění a byl stanoven přiměřeně k předmětu plnění a potřebám zadavatele, jakož i možným rizikům plynoucím z nebezpečí výběru nekvalitního dodavatele, který nebude schopen zajistit plnění předmětu zakázky v požadovaném rozsahu, termínech a kvalitě.</w:t>
            </w:r>
          </w:p>
          <w:p w:rsidR="00A87B52" w:rsidRPr="0018385A" w:rsidRDefault="00A87B52" w:rsidP="00D51D82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</w:p>
        </w:tc>
      </w:tr>
      <w:tr w:rsidR="0018385A" w:rsidRPr="0018385A" w:rsidTr="00A868A0">
        <w:tc>
          <w:tcPr>
            <w:tcW w:w="5000" w:type="pct"/>
            <w:gridSpan w:val="4"/>
            <w:shd w:val="clear" w:color="auto" w:fill="C6D9F1" w:themeFill="text2" w:themeFillTint="33"/>
          </w:tcPr>
          <w:p w:rsidR="00065F5D" w:rsidRPr="0018385A" w:rsidRDefault="00065F5D" w:rsidP="006B5561">
            <w:pPr>
              <w:spacing w:line="240" w:lineRule="auto"/>
              <w:jc w:val="center"/>
              <w:rPr>
                <w:rFonts w:eastAsia="Times New Roman"/>
              </w:rPr>
            </w:pPr>
            <w:r w:rsidRPr="0018385A">
              <w:rPr>
                <w:rFonts w:eastAsia="Times New Roman"/>
                <w:b/>
              </w:rPr>
              <w:t>Odůvodnění vymezení technických podmínek zakázky</w:t>
            </w:r>
            <w:r w:rsidR="00342604" w:rsidRPr="0018385A">
              <w:rPr>
                <w:rFonts w:eastAsia="Times New Roman"/>
                <w:b/>
              </w:rPr>
              <w:t xml:space="preserve"> </w:t>
            </w:r>
            <w:r w:rsidRPr="0018385A">
              <w:rPr>
                <w:rFonts w:eastAsia="Times New Roman"/>
                <w:b/>
              </w:rPr>
              <w:t>podle § 5</w:t>
            </w:r>
            <w:r w:rsidR="00783BD2" w:rsidRPr="0018385A">
              <w:rPr>
                <w:rFonts w:eastAsia="Times New Roman"/>
                <w:b/>
              </w:rPr>
              <w:t xml:space="preserve"> prováděcího předpisu</w:t>
            </w:r>
          </w:p>
        </w:tc>
      </w:tr>
      <w:tr w:rsidR="0018385A" w:rsidRPr="0018385A" w:rsidTr="00A868A0">
        <w:tc>
          <w:tcPr>
            <w:tcW w:w="1814" w:type="pct"/>
            <w:shd w:val="clear" w:color="auto" w:fill="C6D9F1" w:themeFill="text2" w:themeFillTint="33"/>
          </w:tcPr>
          <w:p w:rsidR="00065F5D" w:rsidRPr="0018385A" w:rsidRDefault="00065F5D" w:rsidP="00065F5D">
            <w:pPr>
              <w:spacing w:line="240" w:lineRule="auto"/>
              <w:jc w:val="center"/>
              <w:rPr>
                <w:rFonts w:eastAsia="Times New Roman"/>
                <w:b/>
              </w:rPr>
            </w:pPr>
            <w:r w:rsidRPr="0018385A">
              <w:rPr>
                <w:rFonts w:eastAsia="Times New Roman"/>
                <w:b/>
              </w:rPr>
              <w:t>Technická podmínka</w:t>
            </w:r>
          </w:p>
        </w:tc>
        <w:tc>
          <w:tcPr>
            <w:tcW w:w="3186" w:type="pct"/>
            <w:gridSpan w:val="3"/>
            <w:shd w:val="clear" w:color="auto" w:fill="C6D9F1" w:themeFill="text2" w:themeFillTint="33"/>
          </w:tcPr>
          <w:p w:rsidR="00065F5D" w:rsidRPr="0018385A" w:rsidRDefault="00065F5D" w:rsidP="00065F5D">
            <w:pPr>
              <w:spacing w:line="240" w:lineRule="auto"/>
              <w:jc w:val="center"/>
              <w:rPr>
                <w:rFonts w:eastAsia="Times New Roman"/>
                <w:b/>
              </w:rPr>
            </w:pPr>
            <w:r w:rsidRPr="0018385A">
              <w:rPr>
                <w:rFonts w:eastAsia="Times New Roman"/>
                <w:b/>
              </w:rPr>
              <w:t>Odůvodnění technické podmínky</w:t>
            </w:r>
          </w:p>
        </w:tc>
      </w:tr>
      <w:tr w:rsidR="0018385A" w:rsidRPr="0018385A" w:rsidTr="006B5561">
        <w:tc>
          <w:tcPr>
            <w:tcW w:w="1814" w:type="pct"/>
          </w:tcPr>
          <w:p w:rsidR="008D75FB" w:rsidRPr="0018385A" w:rsidRDefault="008D75FB" w:rsidP="008355C8">
            <w:pPr>
              <w:pStyle w:val="Zkladntextodsazen"/>
              <w:tabs>
                <w:tab w:val="left" w:pos="-1985"/>
              </w:tabs>
              <w:ind w:left="0"/>
              <w:rPr>
                <w:rFonts w:cs="Arial"/>
                <w:i/>
              </w:rPr>
            </w:pPr>
            <w:r w:rsidRPr="0018385A">
              <w:rPr>
                <w:i/>
              </w:rPr>
              <w:t xml:space="preserve">Stanovení technických požadavků na předmět plnění </w:t>
            </w:r>
          </w:p>
        </w:tc>
        <w:tc>
          <w:tcPr>
            <w:tcW w:w="3186" w:type="pct"/>
            <w:gridSpan w:val="3"/>
          </w:tcPr>
          <w:p w:rsidR="00A87B52" w:rsidRPr="0018385A" w:rsidRDefault="00A87B52" w:rsidP="00A87B52">
            <w:pPr>
              <w:spacing w:line="240" w:lineRule="auto"/>
              <w:contextualSpacing/>
              <w:jc w:val="both"/>
            </w:pPr>
            <w:r w:rsidRPr="0018385A">
              <w:t>Zadavatel požaduje technické podmínky v rozsahu stanoveným obecně závaznými normami či normami běžně používanými při plnění tohoto druhu služeb.</w:t>
            </w:r>
          </w:p>
          <w:p w:rsidR="00065F5D" w:rsidRPr="0018385A" w:rsidRDefault="008D75FB" w:rsidP="00A87B52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rPr>
                <w:rFonts w:eastAsia="Times New Roman"/>
              </w:rPr>
              <w:t>Zadavatel požaduje, aby dodavatel při realizaci díla respektoval kvalitní technické</w:t>
            </w:r>
            <w:r w:rsidR="00CD5501" w:rsidRPr="0018385A">
              <w:rPr>
                <w:rFonts w:eastAsia="Times New Roman"/>
              </w:rPr>
              <w:t xml:space="preserve"> ukazatele dle obecných technických požadavků na </w:t>
            </w:r>
            <w:r w:rsidR="00D51D82" w:rsidRPr="0018385A">
              <w:rPr>
                <w:rFonts w:eastAsia="Times New Roman"/>
              </w:rPr>
              <w:t xml:space="preserve">tlakové zkoušky </w:t>
            </w:r>
            <w:r w:rsidR="00236D9E" w:rsidRPr="0018385A">
              <w:rPr>
                <w:rFonts w:eastAsia="Times New Roman"/>
              </w:rPr>
              <w:t xml:space="preserve">a jiskrové zkoušky </w:t>
            </w:r>
            <w:r w:rsidR="00CD5501" w:rsidRPr="0018385A">
              <w:rPr>
                <w:rFonts w:eastAsia="Times New Roman"/>
              </w:rPr>
              <w:t xml:space="preserve">a platné normy. </w:t>
            </w:r>
          </w:p>
          <w:p w:rsidR="00A87B52" w:rsidRPr="0018385A" w:rsidRDefault="00A87B52" w:rsidP="00A87B52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</w:p>
        </w:tc>
      </w:tr>
      <w:tr w:rsidR="0018385A" w:rsidRPr="0018385A" w:rsidTr="00A868A0">
        <w:tc>
          <w:tcPr>
            <w:tcW w:w="5000" w:type="pct"/>
            <w:gridSpan w:val="4"/>
            <w:shd w:val="clear" w:color="auto" w:fill="C6D9F1" w:themeFill="text2" w:themeFillTint="33"/>
          </w:tcPr>
          <w:p w:rsidR="00065F5D" w:rsidRPr="0018385A" w:rsidRDefault="00065F5D" w:rsidP="00CB4402">
            <w:pPr>
              <w:spacing w:line="240" w:lineRule="auto"/>
              <w:jc w:val="center"/>
              <w:rPr>
                <w:rFonts w:eastAsia="Times New Roman"/>
              </w:rPr>
            </w:pPr>
            <w:r w:rsidRPr="0018385A">
              <w:rPr>
                <w:rFonts w:eastAsia="Times New Roman"/>
                <w:b/>
              </w:rPr>
              <w:t>Odůvodnění stanovení základních a dílčích hodnotících kritérií</w:t>
            </w:r>
            <w:r w:rsidR="00342604" w:rsidRPr="0018385A">
              <w:rPr>
                <w:rFonts w:eastAsia="Times New Roman"/>
                <w:b/>
              </w:rPr>
              <w:t xml:space="preserve"> </w:t>
            </w:r>
            <w:r w:rsidRPr="0018385A">
              <w:rPr>
                <w:rFonts w:eastAsia="Times New Roman"/>
                <w:b/>
              </w:rPr>
              <w:t>podle § 6</w:t>
            </w:r>
            <w:r w:rsidR="00CB4402" w:rsidRPr="0018385A">
              <w:rPr>
                <w:rFonts w:eastAsia="Times New Roman"/>
                <w:b/>
              </w:rPr>
              <w:t xml:space="preserve"> prováděcího předpisu</w:t>
            </w:r>
          </w:p>
        </w:tc>
      </w:tr>
      <w:tr w:rsidR="0018385A" w:rsidRPr="0018385A" w:rsidTr="00A868A0">
        <w:tc>
          <w:tcPr>
            <w:tcW w:w="1814" w:type="pct"/>
            <w:shd w:val="clear" w:color="auto" w:fill="C6D9F1" w:themeFill="text2" w:themeFillTint="33"/>
          </w:tcPr>
          <w:p w:rsidR="00065F5D" w:rsidRPr="0018385A" w:rsidRDefault="00065F5D" w:rsidP="00065F5D">
            <w:pPr>
              <w:spacing w:line="240" w:lineRule="auto"/>
              <w:jc w:val="center"/>
              <w:rPr>
                <w:rFonts w:eastAsia="Times New Roman"/>
                <w:b/>
              </w:rPr>
            </w:pPr>
            <w:r w:rsidRPr="0018385A">
              <w:rPr>
                <w:rFonts w:eastAsia="Times New Roman"/>
                <w:b/>
              </w:rPr>
              <w:t xml:space="preserve">Hodnotící kritérium </w:t>
            </w:r>
          </w:p>
        </w:tc>
        <w:tc>
          <w:tcPr>
            <w:tcW w:w="3186" w:type="pct"/>
            <w:gridSpan w:val="3"/>
            <w:shd w:val="clear" w:color="auto" w:fill="C6D9F1" w:themeFill="text2" w:themeFillTint="33"/>
          </w:tcPr>
          <w:p w:rsidR="00065F5D" w:rsidRPr="0018385A" w:rsidRDefault="00065F5D" w:rsidP="00065F5D">
            <w:pPr>
              <w:spacing w:line="240" w:lineRule="auto"/>
              <w:jc w:val="center"/>
              <w:rPr>
                <w:rFonts w:eastAsia="Times New Roman"/>
                <w:b/>
              </w:rPr>
            </w:pPr>
            <w:r w:rsidRPr="0018385A">
              <w:rPr>
                <w:rFonts w:eastAsia="Times New Roman"/>
                <w:b/>
              </w:rPr>
              <w:t xml:space="preserve">Odůvodnění </w:t>
            </w:r>
          </w:p>
        </w:tc>
      </w:tr>
      <w:tr w:rsidR="0018385A" w:rsidRPr="0018385A" w:rsidTr="006B5561">
        <w:tc>
          <w:tcPr>
            <w:tcW w:w="1814" w:type="pct"/>
          </w:tcPr>
          <w:p w:rsidR="00CD5501" w:rsidRPr="0018385A" w:rsidRDefault="00CD5501" w:rsidP="00065F5D">
            <w:pPr>
              <w:spacing w:line="240" w:lineRule="auto"/>
              <w:contextualSpacing/>
              <w:rPr>
                <w:rFonts w:eastAsia="Times New Roman"/>
                <w:i/>
              </w:rPr>
            </w:pPr>
            <w:r w:rsidRPr="0018385A">
              <w:rPr>
                <w:rFonts w:eastAsia="Times New Roman"/>
                <w:i/>
              </w:rPr>
              <w:t>Nabídková cena</w:t>
            </w:r>
          </w:p>
        </w:tc>
        <w:tc>
          <w:tcPr>
            <w:tcW w:w="3186" w:type="pct"/>
            <w:gridSpan w:val="3"/>
          </w:tcPr>
          <w:p w:rsidR="00065F5D" w:rsidRPr="0018385A" w:rsidRDefault="00CD5501" w:rsidP="00A87B52">
            <w:pPr>
              <w:spacing w:line="240" w:lineRule="auto"/>
              <w:contextualSpacing/>
              <w:jc w:val="both"/>
              <w:rPr>
                <w:rFonts w:eastAsia="Times New Roman"/>
              </w:rPr>
            </w:pPr>
            <w:r w:rsidRPr="0018385A">
              <w:rPr>
                <w:rFonts w:eastAsia="Times New Roman"/>
              </w:rPr>
              <w:t xml:space="preserve">Hodnocení nabídek bude provedeno podle jediného kritéria – nejnižší nabídkové ceny. Volba kritéria odpovídá potřebám zadavatele realizovat </w:t>
            </w:r>
            <w:r w:rsidR="00A87B52" w:rsidRPr="0018385A">
              <w:rPr>
                <w:rFonts w:eastAsia="Times New Roman"/>
              </w:rPr>
              <w:t>službu</w:t>
            </w:r>
            <w:r w:rsidRPr="0018385A">
              <w:rPr>
                <w:rFonts w:eastAsia="Times New Roman"/>
              </w:rPr>
              <w:t xml:space="preserve"> za nejnižší nabízenou cenu.</w:t>
            </w:r>
          </w:p>
        </w:tc>
      </w:tr>
    </w:tbl>
    <w:p w:rsidR="00065F5D" w:rsidRPr="0018385A" w:rsidRDefault="00065F5D" w:rsidP="006D59F0">
      <w:pPr>
        <w:jc w:val="both"/>
        <w:rPr>
          <w:b/>
        </w:rPr>
      </w:pPr>
    </w:p>
    <w:p w:rsidR="00A84CCE" w:rsidRPr="0018385A" w:rsidRDefault="00A84CCE" w:rsidP="006D59F0">
      <w:pPr>
        <w:widowControl w:val="0"/>
        <w:suppressAutoHyphens/>
        <w:autoSpaceDE w:val="0"/>
        <w:spacing w:line="240" w:lineRule="auto"/>
        <w:ind w:left="360" w:hanging="360"/>
        <w:jc w:val="both"/>
        <w:outlineLvl w:val="0"/>
        <w:rPr>
          <w:rFonts w:eastAsia="Times New Roman"/>
          <w:b/>
          <w:bCs/>
          <w:lang w:eastAsia="ar-SA"/>
        </w:rPr>
      </w:pPr>
      <w:r w:rsidRPr="0018385A">
        <w:rPr>
          <w:rFonts w:eastAsia="Times New Roman"/>
          <w:b/>
          <w:bCs/>
          <w:lang w:eastAsia="ar-SA"/>
        </w:rPr>
        <w:t>Za zadavatele:</w:t>
      </w:r>
      <w:r w:rsidRPr="0018385A">
        <w:rPr>
          <w:rFonts w:eastAsia="Times New Roman"/>
          <w:b/>
          <w:bCs/>
          <w:lang w:eastAsia="ar-SA"/>
        </w:rPr>
        <w:tab/>
      </w:r>
      <w:r w:rsidRPr="0018385A">
        <w:rPr>
          <w:rFonts w:eastAsia="Times New Roman"/>
          <w:b/>
          <w:bCs/>
          <w:lang w:eastAsia="ar-SA"/>
        </w:rPr>
        <w:tab/>
      </w:r>
      <w:r w:rsidRPr="0018385A">
        <w:rPr>
          <w:rFonts w:eastAsia="Times New Roman"/>
          <w:b/>
          <w:bCs/>
          <w:lang w:eastAsia="ar-SA"/>
        </w:rPr>
        <w:tab/>
      </w:r>
      <w:r w:rsidRPr="0018385A">
        <w:rPr>
          <w:rFonts w:eastAsia="Times New Roman"/>
          <w:b/>
          <w:bCs/>
          <w:lang w:eastAsia="ar-SA"/>
        </w:rPr>
        <w:tab/>
      </w:r>
      <w:r w:rsidRPr="0018385A">
        <w:rPr>
          <w:rFonts w:eastAsia="Times New Roman"/>
          <w:b/>
          <w:bCs/>
          <w:lang w:eastAsia="ar-SA"/>
        </w:rPr>
        <w:tab/>
      </w:r>
      <w:r w:rsidRPr="0018385A">
        <w:rPr>
          <w:rFonts w:eastAsia="Times New Roman"/>
          <w:b/>
          <w:bCs/>
          <w:lang w:eastAsia="ar-SA"/>
        </w:rPr>
        <w:tab/>
      </w:r>
    </w:p>
    <w:p w:rsidR="00A84CCE" w:rsidRPr="0018385A" w:rsidRDefault="00A84CCE" w:rsidP="006D59F0">
      <w:pPr>
        <w:widowControl w:val="0"/>
        <w:suppressAutoHyphens/>
        <w:autoSpaceDE w:val="0"/>
        <w:spacing w:line="240" w:lineRule="auto"/>
        <w:ind w:left="360" w:hanging="360"/>
        <w:jc w:val="both"/>
        <w:rPr>
          <w:rFonts w:eastAsia="Times New Roman"/>
          <w:lang w:eastAsia="ar-SA"/>
        </w:rPr>
      </w:pPr>
    </w:p>
    <w:p w:rsidR="00A84CCE" w:rsidRPr="0018385A" w:rsidRDefault="00A84CCE" w:rsidP="006D59F0">
      <w:pPr>
        <w:widowControl w:val="0"/>
        <w:suppressAutoHyphens/>
        <w:autoSpaceDE w:val="0"/>
        <w:spacing w:line="240" w:lineRule="auto"/>
        <w:ind w:left="360" w:hanging="360"/>
        <w:jc w:val="both"/>
        <w:rPr>
          <w:rFonts w:eastAsia="Times New Roman"/>
          <w:lang w:eastAsia="ar-SA"/>
        </w:rPr>
      </w:pPr>
      <w:r w:rsidRPr="0018385A">
        <w:rPr>
          <w:rFonts w:eastAsia="Times New Roman"/>
          <w:lang w:eastAsia="ar-SA"/>
        </w:rPr>
        <w:t>V Praze dne</w:t>
      </w:r>
      <w:r w:rsidRPr="0018385A">
        <w:rPr>
          <w:rFonts w:eastAsia="Times New Roman"/>
          <w:lang w:eastAsia="ar-SA"/>
        </w:rPr>
        <w:tab/>
      </w:r>
      <w:r w:rsidRPr="0018385A">
        <w:rPr>
          <w:rFonts w:eastAsia="Times New Roman"/>
          <w:lang w:eastAsia="ar-SA"/>
        </w:rPr>
        <w:tab/>
      </w:r>
    </w:p>
    <w:p w:rsidR="00A84CCE" w:rsidRPr="0018385A" w:rsidRDefault="00A84CCE" w:rsidP="006D59F0">
      <w:pPr>
        <w:widowControl w:val="0"/>
        <w:suppressAutoHyphens/>
        <w:autoSpaceDE w:val="0"/>
        <w:spacing w:line="240" w:lineRule="auto"/>
        <w:ind w:left="360" w:hanging="360"/>
        <w:jc w:val="both"/>
        <w:rPr>
          <w:rFonts w:eastAsia="Times New Roman"/>
          <w:lang w:eastAsia="ar-SA"/>
        </w:rPr>
      </w:pPr>
    </w:p>
    <w:p w:rsidR="00A84CCE" w:rsidRPr="0018385A" w:rsidRDefault="00A84CCE" w:rsidP="006D59F0">
      <w:pPr>
        <w:widowControl w:val="0"/>
        <w:suppressAutoHyphens/>
        <w:autoSpaceDE w:val="0"/>
        <w:spacing w:line="240" w:lineRule="auto"/>
        <w:jc w:val="both"/>
        <w:rPr>
          <w:rFonts w:eastAsia="Times New Roman"/>
          <w:lang w:eastAsia="ar-SA"/>
        </w:rPr>
      </w:pPr>
    </w:p>
    <w:p w:rsidR="009F7C72" w:rsidRPr="0018385A" w:rsidRDefault="009F7C72" w:rsidP="006D59F0">
      <w:pPr>
        <w:widowControl w:val="0"/>
        <w:suppressAutoHyphens/>
        <w:autoSpaceDE w:val="0"/>
        <w:spacing w:line="240" w:lineRule="auto"/>
        <w:jc w:val="both"/>
        <w:rPr>
          <w:rFonts w:eastAsia="Times New Roman"/>
          <w:lang w:eastAsia="ar-SA"/>
        </w:rPr>
      </w:pPr>
    </w:p>
    <w:p w:rsidR="007D53D4" w:rsidRPr="0018385A" w:rsidRDefault="007D53D4" w:rsidP="006D59F0">
      <w:pPr>
        <w:widowControl w:val="0"/>
        <w:suppressAutoHyphens/>
        <w:autoSpaceDE w:val="0"/>
        <w:spacing w:line="240" w:lineRule="auto"/>
        <w:jc w:val="both"/>
        <w:rPr>
          <w:rFonts w:eastAsia="Times New Roman"/>
          <w:lang w:eastAsia="ar-SA"/>
        </w:rPr>
      </w:pPr>
    </w:p>
    <w:p w:rsidR="007D53D4" w:rsidRPr="0018385A" w:rsidRDefault="007D53D4" w:rsidP="006D59F0">
      <w:pPr>
        <w:widowControl w:val="0"/>
        <w:suppressAutoHyphens/>
        <w:autoSpaceDE w:val="0"/>
        <w:spacing w:line="240" w:lineRule="auto"/>
        <w:jc w:val="both"/>
        <w:rPr>
          <w:rFonts w:eastAsia="Times New Roman"/>
          <w:lang w:eastAsia="ar-SA"/>
        </w:rPr>
      </w:pPr>
    </w:p>
    <w:p w:rsidR="007D53D4" w:rsidRPr="0018385A" w:rsidRDefault="007D53D4" w:rsidP="006D59F0">
      <w:pPr>
        <w:widowControl w:val="0"/>
        <w:suppressAutoHyphens/>
        <w:autoSpaceDE w:val="0"/>
        <w:spacing w:line="240" w:lineRule="auto"/>
        <w:jc w:val="both"/>
        <w:rPr>
          <w:rFonts w:eastAsia="Times New Roman"/>
          <w:lang w:eastAsia="ar-SA"/>
        </w:rPr>
      </w:pPr>
    </w:p>
    <w:p w:rsidR="007D53D4" w:rsidRPr="0018385A" w:rsidRDefault="007D53D4" w:rsidP="006D59F0">
      <w:pPr>
        <w:widowControl w:val="0"/>
        <w:suppressAutoHyphens/>
        <w:autoSpaceDE w:val="0"/>
        <w:spacing w:line="240" w:lineRule="auto"/>
        <w:jc w:val="both"/>
        <w:rPr>
          <w:rFonts w:eastAsia="Times New Roman"/>
          <w:lang w:eastAsia="ar-SA"/>
        </w:rPr>
      </w:pPr>
    </w:p>
    <w:p w:rsidR="00A84CCE" w:rsidRPr="0018385A" w:rsidRDefault="00A84CCE" w:rsidP="006D59F0">
      <w:pPr>
        <w:widowControl w:val="0"/>
        <w:suppressAutoHyphens/>
        <w:autoSpaceDE w:val="0"/>
        <w:spacing w:line="240" w:lineRule="auto"/>
        <w:ind w:left="360" w:hanging="360"/>
        <w:jc w:val="both"/>
        <w:rPr>
          <w:rFonts w:eastAsia="Times New Roman"/>
          <w:lang w:eastAsia="ar-SA"/>
        </w:rPr>
      </w:pPr>
      <w:r w:rsidRPr="0018385A">
        <w:rPr>
          <w:rFonts w:eastAsia="Times New Roman"/>
          <w:lang w:eastAsia="ar-SA"/>
        </w:rPr>
        <w:t>______________________________</w:t>
      </w:r>
      <w:r w:rsidRPr="0018385A">
        <w:rPr>
          <w:rFonts w:eastAsia="Times New Roman"/>
          <w:lang w:eastAsia="ar-SA"/>
        </w:rPr>
        <w:tab/>
      </w:r>
      <w:r w:rsidRPr="0018385A">
        <w:rPr>
          <w:rFonts w:eastAsia="Times New Roman"/>
          <w:lang w:eastAsia="ar-SA"/>
        </w:rPr>
        <w:tab/>
      </w:r>
      <w:r w:rsidRPr="0018385A">
        <w:rPr>
          <w:rFonts w:eastAsia="Times New Roman"/>
          <w:lang w:eastAsia="ar-SA"/>
        </w:rPr>
        <w:tab/>
        <w:t>____________________________</w:t>
      </w:r>
    </w:p>
    <w:p w:rsidR="00A84CCE" w:rsidRPr="0018385A" w:rsidRDefault="00A84CCE" w:rsidP="006D59F0">
      <w:pPr>
        <w:widowControl w:val="0"/>
        <w:suppressAutoHyphens/>
        <w:autoSpaceDE w:val="0"/>
        <w:spacing w:line="240" w:lineRule="auto"/>
        <w:ind w:left="360" w:hanging="360"/>
        <w:jc w:val="both"/>
        <w:rPr>
          <w:rFonts w:eastAsia="Times New Roman"/>
          <w:b/>
          <w:lang w:eastAsia="ar-SA"/>
        </w:rPr>
      </w:pPr>
      <w:r w:rsidRPr="0018385A">
        <w:rPr>
          <w:rFonts w:eastAsia="Times New Roman"/>
          <w:b/>
          <w:lang w:eastAsia="ar-SA"/>
        </w:rPr>
        <w:t>ČEPRO, a.s.</w:t>
      </w:r>
      <w:r w:rsidRPr="0018385A">
        <w:rPr>
          <w:rFonts w:eastAsia="Times New Roman"/>
          <w:b/>
          <w:lang w:eastAsia="ar-SA"/>
        </w:rPr>
        <w:tab/>
      </w:r>
      <w:r w:rsidRPr="0018385A">
        <w:rPr>
          <w:rFonts w:eastAsia="Times New Roman"/>
          <w:b/>
          <w:lang w:eastAsia="ar-SA"/>
        </w:rPr>
        <w:tab/>
      </w:r>
      <w:r w:rsidRPr="0018385A">
        <w:rPr>
          <w:rFonts w:eastAsia="Times New Roman"/>
          <w:b/>
          <w:lang w:eastAsia="ar-SA"/>
        </w:rPr>
        <w:tab/>
      </w:r>
      <w:r w:rsidRPr="0018385A">
        <w:rPr>
          <w:rFonts w:eastAsia="Times New Roman"/>
          <w:b/>
          <w:lang w:eastAsia="ar-SA"/>
        </w:rPr>
        <w:tab/>
      </w:r>
      <w:r w:rsidRPr="0018385A">
        <w:rPr>
          <w:rFonts w:eastAsia="Times New Roman"/>
          <w:b/>
          <w:lang w:eastAsia="ar-SA"/>
        </w:rPr>
        <w:tab/>
      </w:r>
      <w:r w:rsidRPr="0018385A">
        <w:rPr>
          <w:rFonts w:eastAsia="Times New Roman"/>
          <w:b/>
          <w:lang w:eastAsia="ar-SA"/>
        </w:rPr>
        <w:tab/>
        <w:t>ČEPRO, a.s.</w:t>
      </w:r>
    </w:p>
    <w:p w:rsidR="00A84CCE" w:rsidRPr="0018385A" w:rsidRDefault="00AA0AE0" w:rsidP="006D59F0">
      <w:pPr>
        <w:widowControl w:val="0"/>
        <w:suppressAutoHyphens/>
        <w:autoSpaceDE w:val="0"/>
        <w:spacing w:line="240" w:lineRule="auto"/>
        <w:ind w:left="360" w:hanging="3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Mgr. Jan </w:t>
      </w:r>
      <w:proofErr w:type="spellStart"/>
      <w:r>
        <w:rPr>
          <w:rFonts w:eastAsia="Times New Roman"/>
          <w:lang w:eastAsia="ar-SA"/>
        </w:rPr>
        <w:t>Duspěva</w:t>
      </w:r>
      <w:proofErr w:type="spellEnd"/>
      <w:r>
        <w:rPr>
          <w:rFonts w:eastAsia="Times New Roman"/>
          <w:lang w:eastAsia="ar-SA"/>
        </w:rPr>
        <w:tab/>
      </w:r>
      <w:r w:rsidR="00A84CCE" w:rsidRPr="0018385A">
        <w:rPr>
          <w:rFonts w:eastAsia="Times New Roman"/>
          <w:lang w:eastAsia="ar-SA"/>
        </w:rPr>
        <w:tab/>
      </w:r>
      <w:r w:rsidR="00A84CCE" w:rsidRPr="0018385A">
        <w:rPr>
          <w:rFonts w:eastAsia="Times New Roman"/>
          <w:lang w:eastAsia="ar-SA"/>
        </w:rPr>
        <w:tab/>
      </w:r>
      <w:r w:rsidR="00A84CCE" w:rsidRPr="0018385A">
        <w:rPr>
          <w:rFonts w:eastAsia="Times New Roman"/>
          <w:lang w:eastAsia="ar-SA"/>
        </w:rPr>
        <w:tab/>
      </w:r>
      <w:r w:rsidR="00A84CCE" w:rsidRPr="0018385A">
        <w:rPr>
          <w:rFonts w:eastAsia="Times New Roman"/>
          <w:lang w:eastAsia="ar-SA"/>
        </w:rPr>
        <w:tab/>
        <w:t>Ing. Ladislav Staněk</w:t>
      </w:r>
    </w:p>
    <w:p w:rsidR="009F7C72" w:rsidRPr="0018385A" w:rsidRDefault="00A84CCE" w:rsidP="006D59F0">
      <w:pPr>
        <w:widowControl w:val="0"/>
        <w:suppressAutoHyphens/>
        <w:autoSpaceDE w:val="0"/>
        <w:spacing w:line="240" w:lineRule="auto"/>
        <w:ind w:left="360" w:hanging="360"/>
        <w:jc w:val="both"/>
        <w:rPr>
          <w:rFonts w:eastAsia="Times New Roman"/>
          <w:lang w:eastAsia="ar-SA"/>
        </w:rPr>
      </w:pPr>
      <w:bookmarkStart w:id="0" w:name="_GoBack"/>
      <w:bookmarkEnd w:id="0"/>
      <w:r w:rsidRPr="0018385A">
        <w:rPr>
          <w:rFonts w:eastAsia="Times New Roman"/>
          <w:lang w:eastAsia="ar-SA"/>
        </w:rPr>
        <w:t>předseda představenstva</w:t>
      </w:r>
      <w:r w:rsidR="009F7C72" w:rsidRPr="0018385A">
        <w:rPr>
          <w:rFonts w:eastAsia="Times New Roman"/>
          <w:lang w:eastAsia="ar-SA"/>
        </w:rPr>
        <w:tab/>
      </w:r>
      <w:r w:rsidR="009F7C72" w:rsidRPr="0018385A">
        <w:rPr>
          <w:rFonts w:eastAsia="Times New Roman"/>
          <w:lang w:eastAsia="ar-SA"/>
        </w:rPr>
        <w:tab/>
      </w:r>
      <w:r w:rsidR="009F7C72" w:rsidRPr="0018385A">
        <w:rPr>
          <w:rFonts w:eastAsia="Times New Roman"/>
          <w:lang w:eastAsia="ar-SA"/>
        </w:rPr>
        <w:tab/>
      </w:r>
      <w:r w:rsidR="009F7C72" w:rsidRPr="0018385A">
        <w:rPr>
          <w:rFonts w:eastAsia="Times New Roman"/>
          <w:lang w:eastAsia="ar-SA"/>
        </w:rPr>
        <w:tab/>
        <w:t>člen představenstva</w:t>
      </w:r>
    </w:p>
    <w:sectPr w:rsidR="009F7C72" w:rsidRPr="0018385A" w:rsidSect="00F80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598" w:rsidRDefault="00AB2598" w:rsidP="006B5561">
      <w:pPr>
        <w:spacing w:line="240" w:lineRule="auto"/>
      </w:pPr>
      <w:r>
        <w:separator/>
      </w:r>
    </w:p>
  </w:endnote>
  <w:endnote w:type="continuationSeparator" w:id="0">
    <w:p w:rsidR="00AB2598" w:rsidRDefault="00AB2598" w:rsidP="006B5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598" w:rsidRDefault="00AB2598" w:rsidP="006B5561">
      <w:pPr>
        <w:spacing w:line="240" w:lineRule="auto"/>
      </w:pPr>
      <w:r>
        <w:separator/>
      </w:r>
    </w:p>
  </w:footnote>
  <w:footnote w:type="continuationSeparator" w:id="0">
    <w:p w:rsidR="00AB2598" w:rsidRDefault="00AB2598" w:rsidP="006B55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959E5AD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8"/>
    <w:multiLevelType w:val="singleLevel"/>
    <w:tmpl w:val="F09655D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C872349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2717D2"/>
    <w:multiLevelType w:val="hybridMultilevel"/>
    <w:tmpl w:val="2DDEF710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BD1E78"/>
    <w:multiLevelType w:val="hybridMultilevel"/>
    <w:tmpl w:val="4C98D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7D08E8"/>
    <w:multiLevelType w:val="hybridMultilevel"/>
    <w:tmpl w:val="0D56F5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E1682"/>
    <w:multiLevelType w:val="hybridMultilevel"/>
    <w:tmpl w:val="33603502"/>
    <w:lvl w:ilvl="0" w:tplc="EB8293F4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230FB7"/>
    <w:multiLevelType w:val="hybridMultilevel"/>
    <w:tmpl w:val="3C366B94"/>
    <w:lvl w:ilvl="0" w:tplc="04050013">
      <w:start w:val="1"/>
      <w:numFmt w:val="upperRoman"/>
      <w:lvlText w:val="%1."/>
      <w:lvlJc w:val="righ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B8B4EC2"/>
    <w:multiLevelType w:val="hybridMultilevel"/>
    <w:tmpl w:val="631451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A558D1"/>
    <w:multiLevelType w:val="hybridMultilevel"/>
    <w:tmpl w:val="4BE05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F47AF"/>
    <w:multiLevelType w:val="hybridMultilevel"/>
    <w:tmpl w:val="24E4A9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A23C61"/>
    <w:multiLevelType w:val="hybridMultilevel"/>
    <w:tmpl w:val="27986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DE681F"/>
    <w:multiLevelType w:val="hybridMultilevel"/>
    <w:tmpl w:val="CBFE6F28"/>
    <w:lvl w:ilvl="0" w:tplc="E43A1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4943BD"/>
    <w:multiLevelType w:val="hybridMultilevel"/>
    <w:tmpl w:val="9C8E6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CF2D8D"/>
    <w:multiLevelType w:val="hybridMultilevel"/>
    <w:tmpl w:val="EC3435EC"/>
    <w:lvl w:ilvl="0" w:tplc="F4866D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8A1DEA"/>
    <w:multiLevelType w:val="hybridMultilevel"/>
    <w:tmpl w:val="CCE02B56"/>
    <w:lvl w:ilvl="0" w:tplc="306889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E14596"/>
    <w:multiLevelType w:val="hybridMultilevel"/>
    <w:tmpl w:val="BA942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583AE8"/>
    <w:multiLevelType w:val="hybridMultilevel"/>
    <w:tmpl w:val="28EA0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041810"/>
    <w:multiLevelType w:val="hybridMultilevel"/>
    <w:tmpl w:val="92CAFB26"/>
    <w:lvl w:ilvl="0" w:tplc="40960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205A2C"/>
    <w:multiLevelType w:val="hybridMultilevel"/>
    <w:tmpl w:val="F50C8DDA"/>
    <w:lvl w:ilvl="0" w:tplc="BCDE45F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7363FE5"/>
    <w:multiLevelType w:val="hybridMultilevel"/>
    <w:tmpl w:val="9FE456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821E7F"/>
    <w:multiLevelType w:val="hybridMultilevel"/>
    <w:tmpl w:val="5D424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3C36EF"/>
    <w:multiLevelType w:val="hybridMultilevel"/>
    <w:tmpl w:val="1B0A9960"/>
    <w:lvl w:ilvl="0" w:tplc="A39C2500">
      <w:start w:val="1"/>
      <w:numFmt w:val="decimal"/>
      <w:pStyle w:val="Nadpis1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4B516C"/>
    <w:multiLevelType w:val="hybridMultilevel"/>
    <w:tmpl w:val="B23054E0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16F0FB9"/>
    <w:multiLevelType w:val="hybridMultilevel"/>
    <w:tmpl w:val="AF9A352A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>
    <w:nsid w:val="75BD383E"/>
    <w:multiLevelType w:val="hybridMultilevel"/>
    <w:tmpl w:val="CBFE6F28"/>
    <w:lvl w:ilvl="0" w:tplc="E43A1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1E087F"/>
    <w:multiLevelType w:val="multilevel"/>
    <w:tmpl w:val="2DBCFCDC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79E35AF5"/>
    <w:multiLevelType w:val="hybridMultilevel"/>
    <w:tmpl w:val="54D4C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8D4BD7"/>
    <w:multiLevelType w:val="hybridMultilevel"/>
    <w:tmpl w:val="9C8E6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7"/>
  </w:num>
  <w:num w:numId="4">
    <w:abstractNumId w:val="4"/>
  </w:num>
  <w:num w:numId="5">
    <w:abstractNumId w:val="25"/>
  </w:num>
  <w:num w:numId="6">
    <w:abstractNumId w:val="7"/>
  </w:num>
  <w:num w:numId="7">
    <w:abstractNumId w:val="5"/>
  </w:num>
  <w:num w:numId="8">
    <w:abstractNumId w:val="19"/>
  </w:num>
  <w:num w:numId="9">
    <w:abstractNumId w:val="28"/>
  </w:num>
  <w:num w:numId="10">
    <w:abstractNumId w:val="13"/>
  </w:num>
  <w:num w:numId="11">
    <w:abstractNumId w:val="24"/>
  </w:num>
  <w:num w:numId="12">
    <w:abstractNumId w:val="16"/>
  </w:num>
  <w:num w:numId="13">
    <w:abstractNumId w:val="9"/>
  </w:num>
  <w:num w:numId="14">
    <w:abstractNumId w:val="10"/>
  </w:num>
  <w:num w:numId="15">
    <w:abstractNumId w:val="7"/>
  </w:num>
  <w:num w:numId="16">
    <w:abstractNumId w:val="18"/>
  </w:num>
  <w:num w:numId="17">
    <w:abstractNumId w:val="7"/>
  </w:num>
  <w:num w:numId="18">
    <w:abstractNumId w:val="6"/>
  </w:num>
  <w:num w:numId="19">
    <w:abstractNumId w:val="22"/>
  </w:num>
  <w:num w:numId="20">
    <w:abstractNumId w:val="3"/>
  </w:num>
  <w:num w:numId="21">
    <w:abstractNumId w:val="22"/>
  </w:num>
  <w:num w:numId="22">
    <w:abstractNumId w:val="22"/>
  </w:num>
  <w:num w:numId="23">
    <w:abstractNumId w:val="22"/>
  </w:num>
  <w:num w:numId="24">
    <w:abstractNumId w:val="20"/>
  </w:num>
  <w:num w:numId="25">
    <w:abstractNumId w:val="8"/>
  </w:num>
  <w:num w:numId="26">
    <w:abstractNumId w:val="21"/>
  </w:num>
  <w:num w:numId="27">
    <w:abstractNumId w:val="14"/>
  </w:num>
  <w:num w:numId="28">
    <w:abstractNumId w:val="23"/>
  </w:num>
  <w:num w:numId="29">
    <w:abstractNumId w:val="1"/>
    <w:lvlOverride w:ilvl="0">
      <w:startOverride w:val="1"/>
    </w:lvlOverride>
  </w:num>
  <w:num w:numId="30">
    <w:abstractNumId w:val="27"/>
  </w:num>
  <w:num w:numId="31">
    <w:abstractNumId w:val="0"/>
  </w:num>
  <w:num w:numId="32">
    <w:abstractNumId w:val="11"/>
  </w:num>
  <w:num w:numId="33">
    <w:abstractNumId w:val="21"/>
  </w:num>
  <w:num w:numId="34">
    <w:abstractNumId w:val="2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65"/>
    <w:rsid w:val="00005DA9"/>
    <w:rsid w:val="00010C79"/>
    <w:rsid w:val="00015497"/>
    <w:rsid w:val="00036164"/>
    <w:rsid w:val="00040EC3"/>
    <w:rsid w:val="00042DE6"/>
    <w:rsid w:val="0004761A"/>
    <w:rsid w:val="00065F5D"/>
    <w:rsid w:val="00094151"/>
    <w:rsid w:val="000A3F1D"/>
    <w:rsid w:val="000B4631"/>
    <w:rsid w:val="000C6483"/>
    <w:rsid w:val="000C7ED1"/>
    <w:rsid w:val="000E4A53"/>
    <w:rsid w:val="000F6ACC"/>
    <w:rsid w:val="001007A3"/>
    <w:rsid w:val="001038DF"/>
    <w:rsid w:val="00107DF2"/>
    <w:rsid w:val="00115B5D"/>
    <w:rsid w:val="00120D0C"/>
    <w:rsid w:val="00121774"/>
    <w:rsid w:val="00125F90"/>
    <w:rsid w:val="00140637"/>
    <w:rsid w:val="001555D3"/>
    <w:rsid w:val="0016496D"/>
    <w:rsid w:val="00165C43"/>
    <w:rsid w:val="00177DC1"/>
    <w:rsid w:val="0018385A"/>
    <w:rsid w:val="001A0527"/>
    <w:rsid w:val="001A453A"/>
    <w:rsid w:val="001B0A1A"/>
    <w:rsid w:val="001B298C"/>
    <w:rsid w:val="001B4A5E"/>
    <w:rsid w:val="001B4DE2"/>
    <w:rsid w:val="001C5023"/>
    <w:rsid w:val="001D08B1"/>
    <w:rsid w:val="001D4C88"/>
    <w:rsid w:val="001E19CF"/>
    <w:rsid w:val="001E52F4"/>
    <w:rsid w:val="001F34DF"/>
    <w:rsid w:val="002001EC"/>
    <w:rsid w:val="00201692"/>
    <w:rsid w:val="00207FC7"/>
    <w:rsid w:val="0021217E"/>
    <w:rsid w:val="00215CA5"/>
    <w:rsid w:val="00216C8D"/>
    <w:rsid w:val="0022149B"/>
    <w:rsid w:val="0023091A"/>
    <w:rsid w:val="00236D9E"/>
    <w:rsid w:val="00247581"/>
    <w:rsid w:val="00260B56"/>
    <w:rsid w:val="00264126"/>
    <w:rsid w:val="00264A83"/>
    <w:rsid w:val="00270B6A"/>
    <w:rsid w:val="00274274"/>
    <w:rsid w:val="00284000"/>
    <w:rsid w:val="002A683A"/>
    <w:rsid w:val="002B3A9E"/>
    <w:rsid w:val="002B3ADF"/>
    <w:rsid w:val="002C0E15"/>
    <w:rsid w:val="002C4D88"/>
    <w:rsid w:val="002D0761"/>
    <w:rsid w:val="002D68E3"/>
    <w:rsid w:val="002E54CA"/>
    <w:rsid w:val="002F2C3C"/>
    <w:rsid w:val="002F4DE7"/>
    <w:rsid w:val="003067CB"/>
    <w:rsid w:val="00314078"/>
    <w:rsid w:val="00316F4C"/>
    <w:rsid w:val="00324EB6"/>
    <w:rsid w:val="00335CE0"/>
    <w:rsid w:val="00335E51"/>
    <w:rsid w:val="00342604"/>
    <w:rsid w:val="0035757D"/>
    <w:rsid w:val="003712E8"/>
    <w:rsid w:val="003845B5"/>
    <w:rsid w:val="00390AFC"/>
    <w:rsid w:val="00391049"/>
    <w:rsid w:val="003956E2"/>
    <w:rsid w:val="003A405A"/>
    <w:rsid w:val="003A4AC0"/>
    <w:rsid w:val="003B0626"/>
    <w:rsid w:val="003B4B09"/>
    <w:rsid w:val="003C3C12"/>
    <w:rsid w:val="004176EA"/>
    <w:rsid w:val="00422FA7"/>
    <w:rsid w:val="004358BA"/>
    <w:rsid w:val="0044047E"/>
    <w:rsid w:val="004435A9"/>
    <w:rsid w:val="00460154"/>
    <w:rsid w:val="00475D0A"/>
    <w:rsid w:val="004845B1"/>
    <w:rsid w:val="004B3886"/>
    <w:rsid w:val="004C21A2"/>
    <w:rsid w:val="004F522A"/>
    <w:rsid w:val="00503257"/>
    <w:rsid w:val="00512FCE"/>
    <w:rsid w:val="00513000"/>
    <w:rsid w:val="00513C94"/>
    <w:rsid w:val="00520F86"/>
    <w:rsid w:val="0053411C"/>
    <w:rsid w:val="00534C6F"/>
    <w:rsid w:val="00536DE1"/>
    <w:rsid w:val="00574B9B"/>
    <w:rsid w:val="00584BA9"/>
    <w:rsid w:val="005A0CA9"/>
    <w:rsid w:val="005A2302"/>
    <w:rsid w:val="005A3B2B"/>
    <w:rsid w:val="005A6C1F"/>
    <w:rsid w:val="005C6DDA"/>
    <w:rsid w:val="005D7B1D"/>
    <w:rsid w:val="005E0592"/>
    <w:rsid w:val="005F0804"/>
    <w:rsid w:val="005F3303"/>
    <w:rsid w:val="0060670E"/>
    <w:rsid w:val="00613DFD"/>
    <w:rsid w:val="00616094"/>
    <w:rsid w:val="00624D26"/>
    <w:rsid w:val="0063406E"/>
    <w:rsid w:val="00636D1C"/>
    <w:rsid w:val="0064681E"/>
    <w:rsid w:val="00666DD8"/>
    <w:rsid w:val="006826BE"/>
    <w:rsid w:val="006860E4"/>
    <w:rsid w:val="00696F67"/>
    <w:rsid w:val="006A2E8F"/>
    <w:rsid w:val="006A5551"/>
    <w:rsid w:val="006B32FF"/>
    <w:rsid w:val="006B5561"/>
    <w:rsid w:val="006C33B7"/>
    <w:rsid w:val="006D0575"/>
    <w:rsid w:val="006D59F0"/>
    <w:rsid w:val="006E1154"/>
    <w:rsid w:val="006E4DB3"/>
    <w:rsid w:val="00710433"/>
    <w:rsid w:val="00716044"/>
    <w:rsid w:val="00716FC6"/>
    <w:rsid w:val="00733489"/>
    <w:rsid w:val="00733E6F"/>
    <w:rsid w:val="007419F3"/>
    <w:rsid w:val="00743DD6"/>
    <w:rsid w:val="007522E7"/>
    <w:rsid w:val="00765D56"/>
    <w:rsid w:val="00767832"/>
    <w:rsid w:val="007811D4"/>
    <w:rsid w:val="00783BD2"/>
    <w:rsid w:val="007937CA"/>
    <w:rsid w:val="007A5F17"/>
    <w:rsid w:val="007D1082"/>
    <w:rsid w:val="007D53D4"/>
    <w:rsid w:val="007D5729"/>
    <w:rsid w:val="007E3E98"/>
    <w:rsid w:val="007E4D96"/>
    <w:rsid w:val="007F3C5C"/>
    <w:rsid w:val="007F448D"/>
    <w:rsid w:val="0081519C"/>
    <w:rsid w:val="00830A20"/>
    <w:rsid w:val="008355C8"/>
    <w:rsid w:val="008547FA"/>
    <w:rsid w:val="008566C8"/>
    <w:rsid w:val="00874492"/>
    <w:rsid w:val="00885119"/>
    <w:rsid w:val="00894A8D"/>
    <w:rsid w:val="008963F3"/>
    <w:rsid w:val="008A581C"/>
    <w:rsid w:val="008A75AF"/>
    <w:rsid w:val="008B1786"/>
    <w:rsid w:val="008B6BC9"/>
    <w:rsid w:val="008C006E"/>
    <w:rsid w:val="008C4A99"/>
    <w:rsid w:val="008D2FA1"/>
    <w:rsid w:val="008D4D12"/>
    <w:rsid w:val="008D75FB"/>
    <w:rsid w:val="008E2BFF"/>
    <w:rsid w:val="008E3093"/>
    <w:rsid w:val="00902053"/>
    <w:rsid w:val="0090653C"/>
    <w:rsid w:val="00907A20"/>
    <w:rsid w:val="00912613"/>
    <w:rsid w:val="009529AC"/>
    <w:rsid w:val="00962E07"/>
    <w:rsid w:val="00965B98"/>
    <w:rsid w:val="00972199"/>
    <w:rsid w:val="009856CD"/>
    <w:rsid w:val="009953AF"/>
    <w:rsid w:val="009A14EA"/>
    <w:rsid w:val="009F09D7"/>
    <w:rsid w:val="009F7C72"/>
    <w:rsid w:val="00A016AE"/>
    <w:rsid w:val="00A02672"/>
    <w:rsid w:val="00A17BBE"/>
    <w:rsid w:val="00A21146"/>
    <w:rsid w:val="00A320D1"/>
    <w:rsid w:val="00A33E33"/>
    <w:rsid w:val="00A44578"/>
    <w:rsid w:val="00A47418"/>
    <w:rsid w:val="00A5041C"/>
    <w:rsid w:val="00A5643B"/>
    <w:rsid w:val="00A5738C"/>
    <w:rsid w:val="00A6257F"/>
    <w:rsid w:val="00A6326A"/>
    <w:rsid w:val="00A6357F"/>
    <w:rsid w:val="00A84CCE"/>
    <w:rsid w:val="00A868A0"/>
    <w:rsid w:val="00A87B52"/>
    <w:rsid w:val="00AA0AE0"/>
    <w:rsid w:val="00AA21EB"/>
    <w:rsid w:val="00AA5679"/>
    <w:rsid w:val="00AB2598"/>
    <w:rsid w:val="00AB2BA3"/>
    <w:rsid w:val="00AC4F50"/>
    <w:rsid w:val="00AE1791"/>
    <w:rsid w:val="00B2710B"/>
    <w:rsid w:val="00B27392"/>
    <w:rsid w:val="00B3140D"/>
    <w:rsid w:val="00B31556"/>
    <w:rsid w:val="00B477EC"/>
    <w:rsid w:val="00B52A38"/>
    <w:rsid w:val="00B67249"/>
    <w:rsid w:val="00B82F01"/>
    <w:rsid w:val="00B90473"/>
    <w:rsid w:val="00B9182E"/>
    <w:rsid w:val="00B94B14"/>
    <w:rsid w:val="00BA1EDF"/>
    <w:rsid w:val="00BA6A00"/>
    <w:rsid w:val="00BB34D5"/>
    <w:rsid w:val="00BC2E77"/>
    <w:rsid w:val="00BC65A0"/>
    <w:rsid w:val="00BD291E"/>
    <w:rsid w:val="00BD6278"/>
    <w:rsid w:val="00BF099B"/>
    <w:rsid w:val="00BF4D09"/>
    <w:rsid w:val="00C15283"/>
    <w:rsid w:val="00C40822"/>
    <w:rsid w:val="00C90BEB"/>
    <w:rsid w:val="00C94D89"/>
    <w:rsid w:val="00C97357"/>
    <w:rsid w:val="00CA1DE7"/>
    <w:rsid w:val="00CA20CE"/>
    <w:rsid w:val="00CA70D2"/>
    <w:rsid w:val="00CA731F"/>
    <w:rsid w:val="00CB05BA"/>
    <w:rsid w:val="00CB4402"/>
    <w:rsid w:val="00CC2999"/>
    <w:rsid w:val="00CC43CF"/>
    <w:rsid w:val="00CD5501"/>
    <w:rsid w:val="00CD5947"/>
    <w:rsid w:val="00CF4629"/>
    <w:rsid w:val="00CF4BA3"/>
    <w:rsid w:val="00D105AF"/>
    <w:rsid w:val="00D14C74"/>
    <w:rsid w:val="00D23F65"/>
    <w:rsid w:val="00D26D52"/>
    <w:rsid w:val="00D30780"/>
    <w:rsid w:val="00D337B2"/>
    <w:rsid w:val="00D51D82"/>
    <w:rsid w:val="00D54E78"/>
    <w:rsid w:val="00D57163"/>
    <w:rsid w:val="00D57A6E"/>
    <w:rsid w:val="00D609F3"/>
    <w:rsid w:val="00D71007"/>
    <w:rsid w:val="00DC7C53"/>
    <w:rsid w:val="00DD6C2A"/>
    <w:rsid w:val="00E06DC7"/>
    <w:rsid w:val="00E07DEA"/>
    <w:rsid w:val="00E13A8C"/>
    <w:rsid w:val="00E15318"/>
    <w:rsid w:val="00E613D8"/>
    <w:rsid w:val="00E76455"/>
    <w:rsid w:val="00E87A65"/>
    <w:rsid w:val="00EA05A0"/>
    <w:rsid w:val="00EB11EF"/>
    <w:rsid w:val="00EB185A"/>
    <w:rsid w:val="00EB3D5E"/>
    <w:rsid w:val="00EE1165"/>
    <w:rsid w:val="00EE29D7"/>
    <w:rsid w:val="00EE33D3"/>
    <w:rsid w:val="00EE586F"/>
    <w:rsid w:val="00F06ECF"/>
    <w:rsid w:val="00F06FF1"/>
    <w:rsid w:val="00F155B6"/>
    <w:rsid w:val="00F24AB0"/>
    <w:rsid w:val="00F30E23"/>
    <w:rsid w:val="00F5360E"/>
    <w:rsid w:val="00F67FE1"/>
    <w:rsid w:val="00F80D01"/>
    <w:rsid w:val="00F815A3"/>
    <w:rsid w:val="00F828F5"/>
    <w:rsid w:val="00F95E1F"/>
    <w:rsid w:val="00FB614C"/>
    <w:rsid w:val="00FC5034"/>
    <w:rsid w:val="00FD0E98"/>
    <w:rsid w:val="00FD5DA6"/>
    <w:rsid w:val="00FE587A"/>
    <w:rsid w:val="00FF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2604"/>
    <w:pPr>
      <w:spacing w:after="0"/>
    </w:pPr>
    <w:rPr>
      <w:rFonts w:ascii="Arial" w:hAnsi="Arial" w:cs="Arial"/>
      <w:sz w:val="20"/>
      <w:szCs w:val="20"/>
      <w:lang w:eastAsia="cs-CZ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716FC6"/>
    <w:pPr>
      <w:numPr>
        <w:numId w:val="19"/>
      </w:numPr>
      <w:outlineLvl w:val="0"/>
    </w:pPr>
    <w:rPr>
      <w:b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F3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E1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E116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716FC6"/>
    <w:rPr>
      <w:rFonts w:ascii="Arial" w:hAnsi="Arial" w:cs="Arial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F34D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2A68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A683A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2A683A"/>
    <w:rPr>
      <w:rFonts w:ascii="Arial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68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683A"/>
    <w:rPr>
      <w:rFonts w:ascii="Arial" w:hAnsi="Arial" w:cs="Arial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68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683A"/>
    <w:rPr>
      <w:rFonts w:ascii="Tahoma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8B6BC9"/>
    <w:pPr>
      <w:spacing w:before="120" w:after="120" w:line="240" w:lineRule="auto"/>
      <w:ind w:left="283"/>
      <w:jc w:val="both"/>
    </w:pPr>
    <w:rPr>
      <w:rFonts w:eastAsia="Times New Roman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8B6BC9"/>
    <w:rPr>
      <w:rFonts w:ascii="Arial" w:eastAsia="Times New Roman" w:hAnsi="Arial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907A20"/>
    <w:pPr>
      <w:widowControl w:val="0"/>
      <w:autoSpaceDN w:val="0"/>
      <w:adjustRightInd w:val="0"/>
      <w:spacing w:before="100" w:after="100" w:line="240" w:lineRule="auto"/>
      <w:jc w:val="both"/>
    </w:pPr>
    <w:rPr>
      <w:rFonts w:eastAsia="Times New Roman"/>
    </w:rPr>
  </w:style>
  <w:style w:type="paragraph" w:customStyle="1" w:styleId="Default">
    <w:name w:val="Default"/>
    <w:rsid w:val="001007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lovanseznam">
    <w:name w:val="List Number"/>
    <w:basedOn w:val="Normln"/>
    <w:unhideWhenUsed/>
    <w:rsid w:val="00A6326A"/>
    <w:pPr>
      <w:numPr>
        <w:numId w:val="29"/>
      </w:numPr>
      <w:spacing w:line="240" w:lineRule="auto"/>
    </w:pPr>
    <w:rPr>
      <w:rFonts w:ascii="Times New Roman" w:eastAsia="Times New Roman" w:hAnsi="Times New Roman" w:cs="Times New Roman"/>
      <w:sz w:val="24"/>
    </w:rPr>
  </w:style>
  <w:style w:type="paragraph" w:styleId="slovanseznam3">
    <w:name w:val="List Number 3"/>
    <w:basedOn w:val="Normln"/>
    <w:uiPriority w:val="99"/>
    <w:unhideWhenUsed/>
    <w:rsid w:val="00767832"/>
    <w:pPr>
      <w:numPr>
        <w:numId w:val="31"/>
      </w:numPr>
      <w:contextualSpacing/>
    </w:pPr>
  </w:style>
  <w:style w:type="paragraph" w:styleId="Seznamsodrkami">
    <w:name w:val="List Bullet"/>
    <w:basedOn w:val="Normln"/>
    <w:uiPriority w:val="99"/>
    <w:unhideWhenUsed/>
    <w:rsid w:val="008D2FA1"/>
    <w:pPr>
      <w:numPr>
        <w:numId w:val="34"/>
      </w:numPr>
      <w:contextualSpacing/>
    </w:pPr>
  </w:style>
  <w:style w:type="paragraph" w:styleId="Zhlav">
    <w:name w:val="header"/>
    <w:basedOn w:val="Normln"/>
    <w:link w:val="ZhlavChar"/>
    <w:uiPriority w:val="99"/>
    <w:unhideWhenUsed/>
    <w:rsid w:val="006B556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561"/>
    <w:rPr>
      <w:rFonts w:ascii="Arial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B556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561"/>
    <w:rPr>
      <w:rFonts w:ascii="Arial" w:hAnsi="Arial" w:cs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2604"/>
    <w:pPr>
      <w:spacing w:after="0"/>
    </w:pPr>
    <w:rPr>
      <w:rFonts w:ascii="Arial" w:hAnsi="Arial" w:cs="Arial"/>
      <w:sz w:val="20"/>
      <w:szCs w:val="20"/>
      <w:lang w:eastAsia="cs-CZ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716FC6"/>
    <w:pPr>
      <w:numPr>
        <w:numId w:val="19"/>
      </w:numPr>
      <w:outlineLvl w:val="0"/>
    </w:pPr>
    <w:rPr>
      <w:b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F3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E1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E116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716FC6"/>
    <w:rPr>
      <w:rFonts w:ascii="Arial" w:hAnsi="Arial" w:cs="Arial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F34D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2A68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A683A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2A683A"/>
    <w:rPr>
      <w:rFonts w:ascii="Arial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68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683A"/>
    <w:rPr>
      <w:rFonts w:ascii="Arial" w:hAnsi="Arial" w:cs="Arial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68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683A"/>
    <w:rPr>
      <w:rFonts w:ascii="Tahoma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8B6BC9"/>
    <w:pPr>
      <w:spacing w:before="120" w:after="120" w:line="240" w:lineRule="auto"/>
      <w:ind w:left="283"/>
      <w:jc w:val="both"/>
    </w:pPr>
    <w:rPr>
      <w:rFonts w:eastAsia="Times New Roman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8B6BC9"/>
    <w:rPr>
      <w:rFonts w:ascii="Arial" w:eastAsia="Times New Roman" w:hAnsi="Arial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907A20"/>
    <w:pPr>
      <w:widowControl w:val="0"/>
      <w:autoSpaceDN w:val="0"/>
      <w:adjustRightInd w:val="0"/>
      <w:spacing w:before="100" w:after="100" w:line="240" w:lineRule="auto"/>
      <w:jc w:val="both"/>
    </w:pPr>
    <w:rPr>
      <w:rFonts w:eastAsia="Times New Roman"/>
    </w:rPr>
  </w:style>
  <w:style w:type="paragraph" w:customStyle="1" w:styleId="Default">
    <w:name w:val="Default"/>
    <w:rsid w:val="001007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lovanseznam">
    <w:name w:val="List Number"/>
    <w:basedOn w:val="Normln"/>
    <w:unhideWhenUsed/>
    <w:rsid w:val="00A6326A"/>
    <w:pPr>
      <w:numPr>
        <w:numId w:val="29"/>
      </w:numPr>
      <w:spacing w:line="240" w:lineRule="auto"/>
    </w:pPr>
    <w:rPr>
      <w:rFonts w:ascii="Times New Roman" w:eastAsia="Times New Roman" w:hAnsi="Times New Roman" w:cs="Times New Roman"/>
      <w:sz w:val="24"/>
    </w:rPr>
  </w:style>
  <w:style w:type="paragraph" w:styleId="slovanseznam3">
    <w:name w:val="List Number 3"/>
    <w:basedOn w:val="Normln"/>
    <w:uiPriority w:val="99"/>
    <w:unhideWhenUsed/>
    <w:rsid w:val="00767832"/>
    <w:pPr>
      <w:numPr>
        <w:numId w:val="31"/>
      </w:numPr>
      <w:contextualSpacing/>
    </w:pPr>
  </w:style>
  <w:style w:type="paragraph" w:styleId="Seznamsodrkami">
    <w:name w:val="List Bullet"/>
    <w:basedOn w:val="Normln"/>
    <w:uiPriority w:val="99"/>
    <w:unhideWhenUsed/>
    <w:rsid w:val="008D2FA1"/>
    <w:pPr>
      <w:numPr>
        <w:numId w:val="34"/>
      </w:numPr>
      <w:contextualSpacing/>
    </w:pPr>
  </w:style>
  <w:style w:type="paragraph" w:styleId="Zhlav">
    <w:name w:val="header"/>
    <w:basedOn w:val="Normln"/>
    <w:link w:val="ZhlavChar"/>
    <w:uiPriority w:val="99"/>
    <w:unhideWhenUsed/>
    <w:rsid w:val="006B556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561"/>
    <w:rPr>
      <w:rFonts w:ascii="Arial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B556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561"/>
    <w:rPr>
      <w:rFonts w:ascii="Arial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D6687-9373-4FBC-8532-DC290FA80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1080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Jan Pospíchal</dc:creator>
  <cp:lastModifiedBy>Ševecová Ivana</cp:lastModifiedBy>
  <cp:revision>4</cp:revision>
  <cp:lastPrinted>2014-08-22T09:03:00Z</cp:lastPrinted>
  <dcterms:created xsi:type="dcterms:W3CDTF">2014-08-20T08:17:00Z</dcterms:created>
  <dcterms:modified xsi:type="dcterms:W3CDTF">2014-08-22T09:03:00Z</dcterms:modified>
</cp:coreProperties>
</file>